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pPr>
    </w:p>
    <w:p>
      <w:pPr>
        <w:spacing w:after="0"/>
      </w:pPr>
      <w:r>
        <w:rPr>
          <w:rFonts w:ascii="Georgia" w:cs="Georgia" w:eastAsia="Georgia" w:hAnsi="Georgia"/>
          <w:b/>
          <w:bCs/>
          <w:color w:val="1F3864"/>
          <w:spacing w:val="40"/>
          <w:sz w:val="30"/>
          <w:szCs w:val="30"/>
        </w:rPr>
        <w:t xml:space="preserve">VALUE MASTERS ACADEMY</w:t>
      </w:r>
    </w:p>
    <w:p>
      <w:pPr>
        <w:spacing w:after="120"/>
      </w:pPr>
      <w:r>
        <w:rPr>
          <w:rFonts w:ascii="Georgia" w:cs="Georgia" w:eastAsia="Georgia" w:hAnsi="Georgia"/>
          <w:i/>
          <w:iCs/>
          <w:color w:val="8C6D1F"/>
          <w:spacing w:val="16"/>
          <w:sz w:val="20"/>
          <w:szCs w:val="20"/>
        </w:rPr>
        <w:t xml:space="preserve">for A Level Alliances (ALA)</w:t>
      </w:r>
    </w:p>
    <w:p>
      <w:pPr>
        <w:pBdr>
          <w:bottom w:val="single" w:color="8C6D1F" w:sz="6" w:space="4"/>
        </w:pBdr>
        <w:spacing w:after="120" w:before="120"/>
      </w:pPr>
    </w:p>
    <w:p>
      <w:pPr>
        <w:spacing w:after="700"/>
      </w:pPr>
    </w:p>
    <w:p>
      <w:pPr>
        <w:spacing w:after="140"/>
      </w:pPr>
      <w:r>
        <w:rPr>
          <w:rFonts w:ascii="Georgia" w:cs="Georgia" w:eastAsia="Georgia" w:hAnsi="Georgia"/>
          <w:b/>
          <w:bCs/>
          <w:color w:val="1F3864"/>
          <w:sz w:val="52"/>
          <w:szCs w:val="52"/>
        </w:rPr>
        <w:t xml:space="preserve">ABD ÜYELİK EKONOMİSİ</w:t>
      </w:r>
    </w:p>
    <w:p>
      <w:pPr>
        <w:spacing w:after="320"/>
      </w:pPr>
      <w:r>
        <w:rPr>
          <w:rFonts w:ascii="Georgia" w:cs="Georgia" w:eastAsia="Georgia" w:hAnsi="Georgia"/>
          <w:color w:val="595959"/>
          <w:sz w:val="24"/>
          <w:szCs w:val="24"/>
        </w:rPr>
        <w:t xml:space="preserve">Depo Kulüplerinden Üçüncü Mekân Kulüplerine: Pazar Yapısı, Talep Dinamikleri ve Üyelik İş Modelinin Ekonomisi</w:t>
      </w:r>
    </w:p>
    <w:p>
      <w:pPr>
        <w:pBdr>
          <w:bottom w:val="single" w:color="8C6D1F" w:sz="6" w:space="4"/>
        </w:pBdr>
        <w:spacing w:after="120" w:before="120"/>
      </w:pPr>
    </w:p>
    <w:p>
      <w:pPr>
        <w:spacing w:after="400"/>
      </w:pPr>
    </w:p>
    <w:p>
      <w:pPr>
        <w:spacing w:after="70" w:line="264"/>
        <w:jc w:val="left"/>
      </w:pPr>
      <w:r>
        <w:rPr>
          <w:rFonts w:ascii="Georgia" w:cs="Georgia" w:eastAsia="Georgia" w:hAnsi="Georgia"/>
          <w:b/>
          <w:bCs/>
          <w:color w:val="1F3864"/>
          <w:sz w:val="18"/>
          <w:szCs w:val="18"/>
        </w:rPr>
        <w:t xml:space="preserve">Belge türü:  </w:t>
      </w:r>
      <w:r>
        <w:rPr>
          <w:rFonts w:ascii="Georgia" w:cs="Georgia" w:eastAsia="Georgia" w:hAnsi="Georgia"/>
          <w:color w:val="1A1A1A"/>
          <w:sz w:val="18"/>
          <w:szCs w:val="18"/>
        </w:rPr>
        <w:t xml:space="preserve">Sektör Araştırması ve Stratejik Konumlandırma Değerlendirmesi</w:t>
      </w:r>
    </w:p>
    <w:p>
      <w:pPr>
        <w:spacing w:after="70" w:line="264"/>
        <w:jc w:val="left"/>
      </w:pPr>
      <w:r>
        <w:rPr>
          <w:rFonts w:ascii="Georgia" w:cs="Georgia" w:eastAsia="Georgia" w:hAnsi="Georgia"/>
          <w:b/>
          <w:bCs/>
          <w:color w:val="1F3864"/>
          <w:sz w:val="18"/>
          <w:szCs w:val="18"/>
        </w:rPr>
        <w:t xml:space="preserve">Hazırlanan taraf:  </w:t>
      </w:r>
      <w:r>
        <w:rPr>
          <w:rFonts w:ascii="Georgia" w:cs="Georgia" w:eastAsia="Georgia" w:hAnsi="Georgia"/>
          <w:color w:val="1A1A1A"/>
          <w:sz w:val="18"/>
          <w:szCs w:val="18"/>
        </w:rPr>
        <w:t xml:space="preserve">Atmosphere · Third Place (Workspace · Co-Working · Gym · Health Club)</w:t>
      </w:r>
    </w:p>
    <w:p>
      <w:pPr>
        <w:spacing w:after="70" w:line="264"/>
        <w:jc w:val="left"/>
      </w:pPr>
      <w:r>
        <w:rPr>
          <w:rFonts w:ascii="Georgia" w:cs="Georgia" w:eastAsia="Georgia" w:hAnsi="Georgia"/>
          <w:b/>
          <w:bCs/>
          <w:color w:val="1F3864"/>
          <w:sz w:val="18"/>
          <w:szCs w:val="18"/>
        </w:rPr>
        <w:t xml:space="preserve">Coğrafi kapsam:  </w:t>
      </w:r>
      <w:r>
        <w:rPr>
          <w:rFonts w:ascii="Georgia" w:cs="Georgia" w:eastAsia="Georgia" w:hAnsi="Georgia"/>
          <w:color w:val="1A1A1A"/>
          <w:sz w:val="18"/>
          <w:szCs w:val="18"/>
        </w:rPr>
        <w:t xml:space="preserve">Amerika Birleşik Devletleri (öncü gösterge pazarı); seçili küresel kıyaslamalar</w:t>
      </w:r>
    </w:p>
    <w:p>
      <w:pPr>
        <w:spacing w:after="70" w:line="264"/>
        <w:jc w:val="left"/>
      </w:pPr>
      <w:r>
        <w:rPr>
          <w:rFonts w:ascii="Georgia" w:cs="Georgia" w:eastAsia="Georgia" w:hAnsi="Georgia"/>
          <w:b/>
          <w:bCs/>
          <w:color w:val="1F3864"/>
          <w:sz w:val="18"/>
          <w:szCs w:val="18"/>
        </w:rPr>
        <w:t xml:space="preserve">Veri kesim tarihi:  </w:t>
      </w:r>
      <w:r>
        <w:rPr>
          <w:rFonts w:ascii="Georgia" w:cs="Georgia" w:eastAsia="Georgia" w:hAnsi="Georgia"/>
          <w:color w:val="1A1A1A"/>
          <w:sz w:val="18"/>
          <w:szCs w:val="18"/>
        </w:rPr>
        <w:t xml:space="preserve">3 Eylül 2026</w:t>
      </w:r>
    </w:p>
    <w:p>
      <w:pPr>
        <w:spacing w:after="420" w:line="264"/>
        <w:jc w:val="left"/>
      </w:pPr>
      <w:r>
        <w:rPr>
          <w:rFonts w:ascii="Georgia" w:cs="Georgia" w:eastAsia="Georgia" w:hAnsi="Georgia"/>
          <w:b/>
          <w:bCs/>
          <w:color w:val="1F3864"/>
          <w:sz w:val="18"/>
          <w:szCs w:val="18"/>
        </w:rPr>
        <w:t xml:space="preserve">Dağıtım:  </w:t>
      </w:r>
      <w:r>
        <w:rPr>
          <w:rFonts w:ascii="Georgia" w:cs="Georgia" w:eastAsia="Georgia" w:hAnsi="Georgia"/>
          <w:color w:val="1A1A1A"/>
          <w:sz w:val="18"/>
          <w:szCs w:val="18"/>
        </w:rPr>
        <w:t xml:space="preserve">Sınırlı — yalnızca adı geçen alıcı için</w:t>
      </w:r>
    </w:p>
    <w:p>
      <w:pPr>
        <w:spacing w:after="0"/>
      </w:pPr>
      <w:r>
        <w:rPr>
          <w:rFonts w:ascii="Georgia" w:cs="Georgia" w:eastAsia="Georgia" w:hAnsi="Georgia"/>
          <w:b/>
          <w:bCs/>
          <w:color w:val="8C6D1F"/>
          <w:spacing w:val="24"/>
          <w:sz w:val="18"/>
          <w:szCs w:val="18"/>
        </w:rPr>
        <w:t xml:space="preserve">STRICTLY PRIVATE &amp; CONFIDENTIAL</w:t>
      </w:r>
    </w:p>
    <w:p>
      <w:r>
        <w:br w:type="page"/>
      </w:r>
    </w:p>
    <w:p>
      <w:pPr>
        <w:pStyle w:val="Heading1"/>
        <w:pBdr>
          <w:bottom w:val="single" w:color="1F3864" w:sz="8" w:space="6"/>
        </w:pBdr>
        <w:spacing w:after="180" w:before="380"/>
      </w:pPr>
      <w:r>
        <w:rPr>
          <w:rFonts w:ascii="Georgia" w:cs="Georgia" w:eastAsia="Georgia" w:hAnsi="Georgia"/>
          <w:b/>
          <w:bCs/>
          <w:color w:val="1F3864"/>
          <w:spacing w:val="14"/>
          <w:sz w:val="26"/>
          <w:szCs w:val="26"/>
        </w:rPr>
        <w:t xml:space="preserve">ÖNEMLI UYARI VE SORUMLULUK REDDI</w:t>
      </w:r>
    </w:p>
    <w:p>
      <w:pPr>
        <w:spacing w:after="200" w:line="264"/>
        <w:jc w:val="left"/>
      </w:pPr>
      <w:r>
        <w:rPr>
          <w:rFonts w:ascii="Georgia" w:cs="Georgia" w:eastAsia="Georgia" w:hAnsi="Georgia"/>
          <w:b/>
          <w:bCs/>
          <w:color w:val="595959"/>
          <w:sz w:val="17"/>
          <w:szCs w:val="17"/>
        </w:rPr>
        <w:t xml:space="preserve">IMPORTANT NOTICE AND DISCLAIMER</w:t>
      </w:r>
    </w:p>
    <w:p>
      <w:pPr>
        <w:spacing w:after="140" w:line="264"/>
        <w:jc w:val="both"/>
      </w:pPr>
      <w:r>
        <w:rPr>
          <w:rFonts w:ascii="Georgia" w:cs="Georgia" w:eastAsia="Georgia" w:hAnsi="Georgia"/>
          <w:color w:val="1A1A1A"/>
          <w:sz w:val="20"/>
          <w:szCs w:val="20"/>
        </w:rPr>
        <w:t xml:space="preserve">İşbu belge ("Rapor"), Value Masters Academy tarafından A Level Alliances ("ALA") adına ve yalnızca adı geçen alıcının bilgilendirilmesi amacıyla hazırlanmıştır. Rapor gizli niteliktedir; Value Masters Academy'nin önceden yazılı onayı olmaksızın tamamen veya kısmen çoğaltılamaz, dağıtılamaz, üçüncü taraflarla paylaşılamaz ya da alıntılanamaz.</w:t>
      </w:r>
    </w:p>
    <w:p>
      <w:pPr>
        <w:spacing w:after="140" w:line="264"/>
        <w:jc w:val="both"/>
      </w:pPr>
      <w:r>
        <w:rPr>
          <w:rFonts w:ascii="Georgia" w:cs="Georgia" w:eastAsia="Georgia" w:hAnsi="Georgia"/>
          <w:color w:val="1A1A1A"/>
          <w:sz w:val="20"/>
          <w:szCs w:val="20"/>
        </w:rPr>
        <w:t xml:space="preserve">Bu Rapor bir yatırım tavsiyesi, yatırım danışmanlığı, hukuki görüş, vergi görüşü veya muhasebe görüşü teşkil etmez. Herhangi bir menkul kıymetin satın alınması veya satılmasına yönelik bir teklif, teklife davet ya da taahhüt niteliği taşımaz. Value Masters Academy bir yatırım bankası, aracı kurum, portföy yönetim şirketi veya lisanslı yatırım danışmanı değildir ve bu sıfatlarla hareket etmemektedir. Rapor'un alıcısı ile Value Masters Academy veya ALA arasında herhangi bir vekâlet, güven (fiduciary) ya da danışmanlık ilişkisi doğmaz.</w:t>
      </w:r>
    </w:p>
    <w:p>
      <w:pPr>
        <w:spacing w:after="140" w:line="264"/>
        <w:jc w:val="both"/>
      </w:pPr>
      <w:r>
        <w:rPr>
          <w:rFonts w:ascii="Georgia" w:cs="Georgia" w:eastAsia="Georgia" w:hAnsi="Georgia"/>
          <w:color w:val="1A1A1A"/>
          <w:sz w:val="20"/>
          <w:szCs w:val="20"/>
        </w:rPr>
        <w:t xml:space="preserve">Rapor'da yer alan bilgiler kamuya açık kaynaklardan, sektör birliklerinin yayınlarından, halka açık şirketlerin finansal raporlarından, ticari veri sağlayıcılarından ve basında yer alan haberlerden derlenmiştir. Bu kaynakların doğruluğu bağımsız olarak denetlenmemiş ve teyit edilmemiştir. Value Masters Academy ve ALA, buradaki bilgilerin doğruluğu, güncelliği, eksiksizliği veya belirli bir amaca uygunluğu konusunda açık ya da zımni hiçbir beyan veya garanti vermez ve bu konudaki her türlü sorumluluğu açıkça reddeder.</w:t>
      </w:r>
    </w:p>
    <w:p>
      <w:pPr>
        <w:spacing w:after="140" w:line="264"/>
        <w:jc w:val="both"/>
      </w:pPr>
      <w:r>
        <w:rPr>
          <w:rFonts w:ascii="Georgia" w:cs="Georgia" w:eastAsia="Georgia" w:hAnsi="Georgia"/>
          <w:color w:val="1A1A1A"/>
          <w:sz w:val="20"/>
          <w:szCs w:val="20"/>
        </w:rPr>
        <w:t xml:space="preserve">Pazar büyüklüğü tahminleri, ticari veri sağlayıcıları arasındaki metodoloji farklılıkları nedeniyle önemli ölçüde ayrışabilmektedir; Rapor'da bu ayrışmalar gizlenmemiş, mümkün olduğunca aralık olarak gösterilmiştir. Fiyatlandırma verileri, üyelik kulüplerinin büyük kısmının fiyatlarını kamuya açıklamaması nedeniyle basına yansıyan beyanlara dayanmakta olup işletmelerin takdirine bağlı olarak değişebilir.</w:t>
      </w:r>
    </w:p>
    <w:p>
      <w:pPr>
        <w:spacing w:after="140" w:line="264"/>
        <w:jc w:val="both"/>
      </w:pPr>
      <w:r>
        <w:rPr>
          <w:rFonts w:ascii="Georgia" w:cs="Georgia" w:eastAsia="Georgia" w:hAnsi="Georgia"/>
          <w:color w:val="1A1A1A"/>
          <w:sz w:val="20"/>
          <w:szCs w:val="20"/>
        </w:rPr>
        <w:t xml:space="preserve">Rapor, ileriye dönük değerlendirmeler ("forward-looking statements") içermektedir. Bu değerlendirmeler doğası gereği belirsizlik taşıyan varsayımlara dayanır; makroekonomik koşullar, düzenleyici değişiklikler, rekabet dinamikleri ve tüketici davranışındaki kaymalar nedeniyle fiili sonuçlar önemli ölçüde farklılaşabilir. Rapor'daki birim ekonomi çalışmaları örnekleyici (illustrative) niteliktedir; belirli bir işletmenin denetlenmiş finansallarına dayanmamaktadır ve projeksiyon olarak yorumlanmamalıdır.</w:t>
      </w:r>
    </w:p>
    <w:p>
      <w:pPr>
        <w:spacing w:after="140" w:line="264"/>
        <w:jc w:val="both"/>
      </w:pPr>
      <w:r>
        <w:rPr>
          <w:rFonts w:ascii="Georgia" w:cs="Georgia" w:eastAsia="Georgia" w:hAnsi="Georgia"/>
          <w:color w:val="1A1A1A"/>
          <w:sz w:val="20"/>
          <w:szCs w:val="20"/>
        </w:rPr>
        <w:t xml:space="preserve">Rapor, 3 Eylül 2026 tarihi itibarıyla mevcut bilgileri yansıtır. Value Masters Academy, bu tarihten sonra ortaya çıkan gelişmeler nedeniyle Rapor'u güncelleme yükümlülüğü üstlenmez. Alıcı, herhangi bir ticari karar almadan önce kendi bağımsız incelemesini (due diligence) yapmalı ve kendi hukuk, vergi ve finans müşavirlerine başvurmalıdır. Rapor'a dayanılarak alınan kararlardan doğabilecek doğrudan veya dolaylı hiçbir zarardan Value Masters Academy veya ALA sorumlu tutulamaz.</w:t>
      </w:r>
    </w:p>
    <w:p>
      <w:pPr>
        <w:spacing w:after="140" w:line="264"/>
        <w:jc w:val="both"/>
      </w:pPr>
      <w:r>
        <w:rPr>
          <w:rFonts w:ascii="Georgia" w:cs="Georgia" w:eastAsia="Georgia" w:hAnsi="Georgia"/>
          <w:color w:val="1A1A1A"/>
          <w:sz w:val="20"/>
          <w:szCs w:val="20"/>
        </w:rPr>
        <w:t xml:space="preserve">Rapor'da adı geçen üçüncü taraf şirketler, markalar ve kuruluşlar yalnızca sektörel kıyaslama amacıyla anılmıştır. Bu kuruluşların hiçbiri Rapor'un hazırlanmasına katılmamış, içeriğini onaylamamış veya desteklememiştir. Tüm ticari markalar ilgili sahiplerine aittir.</w:t>
      </w:r>
    </w:p>
    <w:p>
      <w:r>
        <w:br w:type="page"/>
      </w:r>
    </w:p>
    <w:p>
      <w:pPr>
        <w:pStyle w:val="Heading1"/>
        <w:pBdr>
          <w:bottom w:val="single" w:color="1F3864" w:sz="8" w:space="6"/>
        </w:pBdr>
        <w:spacing w:after="180" w:before="380"/>
      </w:pPr>
      <w:r>
        <w:rPr>
          <w:rFonts w:ascii="Georgia" w:cs="Georgia" w:eastAsia="Georgia" w:hAnsi="Georgia"/>
          <w:b/>
          <w:bCs/>
          <w:color w:val="1F3864"/>
          <w:spacing w:val="14"/>
          <w:sz w:val="26"/>
          <w:szCs w:val="26"/>
        </w:rPr>
        <w:t xml:space="preserve">İÇINDEKILER</w:t>
      </w:r>
    </w:p>
    <w:p>
      <w:pPr>
        <w:spacing w:after="120"/>
      </w:pPr>
      <w:r>
        <w:rPr>
          <w:rFonts w:ascii="Georgia" w:cs="Georgia" w:eastAsia="Georgia" w:hAnsi="Georgia"/>
          <w:b/>
          <w:bCs/>
          <w:color w:val="8C6D1F"/>
          <w:sz w:val="20"/>
          <w:szCs w:val="20"/>
        </w:rPr>
        <w:t xml:space="preserve"> 1.    </w:t>
      </w:r>
      <w:r>
        <w:rPr>
          <w:rFonts w:ascii="Georgia" w:cs="Georgia" w:eastAsia="Georgia" w:hAnsi="Georgia"/>
          <w:color w:val="1F3864"/>
          <w:sz w:val="20"/>
          <w:szCs w:val="20"/>
        </w:rPr>
        <w:t xml:space="preserve">Yönetici Özeti</w:t>
      </w:r>
    </w:p>
    <w:p>
      <w:pPr>
        <w:spacing w:after="120"/>
      </w:pPr>
      <w:r>
        <w:rPr>
          <w:rFonts w:ascii="Georgia" w:cs="Georgia" w:eastAsia="Georgia" w:hAnsi="Georgia"/>
          <w:b/>
          <w:bCs/>
          <w:color w:val="8C6D1F"/>
          <w:sz w:val="20"/>
          <w:szCs w:val="20"/>
        </w:rPr>
        <w:t xml:space="preserve"> 2.    </w:t>
      </w:r>
      <w:r>
        <w:rPr>
          <w:rFonts w:ascii="Georgia" w:cs="Georgia" w:eastAsia="Georgia" w:hAnsi="Georgia"/>
          <w:color w:val="1F3864"/>
          <w:sz w:val="20"/>
          <w:szCs w:val="20"/>
        </w:rPr>
        <w:t xml:space="preserve">Kapsam, Metodoloji ve Tanımlar</w:t>
      </w:r>
    </w:p>
    <w:p>
      <w:pPr>
        <w:spacing w:after="120"/>
      </w:pPr>
      <w:r>
        <w:rPr>
          <w:rFonts w:ascii="Georgia" w:cs="Georgia" w:eastAsia="Georgia" w:hAnsi="Georgia"/>
          <w:b/>
          <w:bCs/>
          <w:color w:val="8C6D1F"/>
          <w:sz w:val="20"/>
          <w:szCs w:val="20"/>
        </w:rPr>
        <w:t xml:space="preserve"> 3.    </w:t>
      </w:r>
      <w:r>
        <w:rPr>
          <w:rFonts w:ascii="Georgia" w:cs="Georgia" w:eastAsia="Georgia" w:hAnsi="Georgia"/>
          <w:color w:val="1F3864"/>
          <w:sz w:val="20"/>
          <w:szCs w:val="20"/>
        </w:rPr>
        <w:t xml:space="preserve">Pazarın Anatomisi: Beş Katmanlı Üyelik Haritası</w:t>
      </w:r>
    </w:p>
    <w:p>
      <w:pPr>
        <w:spacing w:after="120"/>
      </w:pPr>
      <w:r>
        <w:rPr>
          <w:rFonts w:ascii="Georgia" w:cs="Georgia" w:eastAsia="Georgia" w:hAnsi="Georgia"/>
          <w:b/>
          <w:bCs/>
          <w:color w:val="8C6D1F"/>
          <w:sz w:val="20"/>
          <w:szCs w:val="20"/>
        </w:rPr>
        <w:t xml:space="preserve"> 4.    </w:t>
      </w:r>
      <w:r>
        <w:rPr>
          <w:rFonts w:ascii="Georgia" w:cs="Georgia" w:eastAsia="Georgia" w:hAnsi="Georgia"/>
          <w:color w:val="1F3864"/>
          <w:sz w:val="20"/>
          <w:szCs w:val="20"/>
        </w:rPr>
        <w:t xml:space="preserve">Pazar Büyüklüğü ve Büyüme Dinamikleri</w:t>
      </w:r>
    </w:p>
    <w:p>
      <w:pPr>
        <w:spacing w:after="120"/>
      </w:pPr>
      <w:r>
        <w:rPr>
          <w:rFonts w:ascii="Georgia" w:cs="Georgia" w:eastAsia="Georgia" w:hAnsi="Georgia"/>
          <w:b/>
          <w:bCs/>
          <w:color w:val="8C6D1F"/>
          <w:sz w:val="20"/>
          <w:szCs w:val="20"/>
        </w:rPr>
        <w:t xml:space="preserve"> 5.    </w:t>
      </w:r>
      <w:r>
        <w:rPr>
          <w:rFonts w:ascii="Georgia" w:cs="Georgia" w:eastAsia="Georgia" w:hAnsi="Georgia"/>
          <w:color w:val="1F3864"/>
          <w:sz w:val="20"/>
          <w:szCs w:val="20"/>
        </w:rPr>
        <w:t xml:space="preserve">Talep Tarafı: Tüketici, Kuşaklar ve Üçüncü Mekân Açığı</w:t>
      </w:r>
    </w:p>
    <w:p>
      <w:pPr>
        <w:spacing w:after="120"/>
      </w:pPr>
      <w:r>
        <w:rPr>
          <w:rFonts w:ascii="Georgia" w:cs="Georgia" w:eastAsia="Georgia" w:hAnsi="Georgia"/>
          <w:b/>
          <w:bCs/>
          <w:color w:val="8C6D1F"/>
          <w:sz w:val="20"/>
          <w:szCs w:val="20"/>
        </w:rPr>
        <w:t xml:space="preserve"> 6.    </w:t>
      </w:r>
      <w:r>
        <w:rPr>
          <w:rFonts w:ascii="Georgia" w:cs="Georgia" w:eastAsia="Georgia" w:hAnsi="Georgia"/>
          <w:color w:val="1F3864"/>
          <w:sz w:val="20"/>
          <w:szCs w:val="20"/>
        </w:rPr>
        <w:t xml:space="preserve">Arz Tarafı: Rekabet Ortamı ve Fiyat Mimarisi</w:t>
      </w:r>
    </w:p>
    <w:p>
      <w:pPr>
        <w:spacing w:after="120"/>
      </w:pPr>
      <w:r>
        <w:rPr>
          <w:rFonts w:ascii="Georgia" w:cs="Georgia" w:eastAsia="Georgia" w:hAnsi="Georgia"/>
          <w:b/>
          <w:bCs/>
          <w:color w:val="8C6D1F"/>
          <w:sz w:val="20"/>
          <w:szCs w:val="20"/>
        </w:rPr>
        <w:t xml:space="preserve"> 7.    </w:t>
      </w:r>
      <w:r>
        <w:rPr>
          <w:rFonts w:ascii="Georgia" w:cs="Georgia" w:eastAsia="Georgia" w:hAnsi="Georgia"/>
          <w:color w:val="1F3864"/>
          <w:sz w:val="20"/>
          <w:szCs w:val="20"/>
        </w:rPr>
        <w:t xml:space="preserve">Üyelik İş Modelinin Ekonomisi</w:t>
      </w:r>
    </w:p>
    <w:p>
      <w:pPr>
        <w:spacing w:after="120"/>
      </w:pPr>
      <w:r>
        <w:rPr>
          <w:rFonts w:ascii="Georgia" w:cs="Georgia" w:eastAsia="Georgia" w:hAnsi="Georgia"/>
          <w:b/>
          <w:bCs/>
          <w:color w:val="8C6D1F"/>
          <w:sz w:val="20"/>
          <w:szCs w:val="20"/>
        </w:rPr>
        <w:t xml:space="preserve"> 8.    </w:t>
      </w:r>
      <w:r>
        <w:rPr>
          <w:rFonts w:ascii="Georgia" w:cs="Georgia" w:eastAsia="Georgia" w:hAnsi="Georgia"/>
          <w:color w:val="1F3864"/>
          <w:sz w:val="20"/>
          <w:szCs w:val="20"/>
        </w:rPr>
        <w:t xml:space="preserve">Sermaye Piyasaları, Yatırım ve M&amp;A Aktivitesi</w:t>
      </w:r>
    </w:p>
    <w:p>
      <w:pPr>
        <w:spacing w:after="120"/>
      </w:pPr>
      <w:r>
        <w:rPr>
          <w:rFonts w:ascii="Georgia" w:cs="Georgia" w:eastAsia="Georgia" w:hAnsi="Georgia"/>
          <w:b/>
          <w:bCs/>
          <w:color w:val="8C6D1F"/>
          <w:sz w:val="20"/>
          <w:szCs w:val="20"/>
        </w:rPr>
        <w:t xml:space="preserve"> 9.    </w:t>
      </w:r>
      <w:r>
        <w:rPr>
          <w:rFonts w:ascii="Georgia" w:cs="Georgia" w:eastAsia="Georgia" w:hAnsi="Georgia"/>
          <w:color w:val="1F3864"/>
          <w:sz w:val="20"/>
          <w:szCs w:val="20"/>
        </w:rPr>
        <w:t xml:space="preserve">Kritik Başarı Faktörleri ve Risk Haritası</w:t>
      </w:r>
    </w:p>
    <w:p>
      <w:pPr>
        <w:spacing w:after="120"/>
      </w:pPr>
      <w:r>
        <w:rPr>
          <w:rFonts w:ascii="Georgia" w:cs="Georgia" w:eastAsia="Georgia" w:hAnsi="Georgia"/>
          <w:b/>
          <w:bCs/>
          <w:color w:val="8C6D1F"/>
          <w:sz w:val="20"/>
          <w:szCs w:val="20"/>
        </w:rPr>
        <w:t xml:space="preserve">10.    </w:t>
      </w:r>
      <w:r>
        <w:rPr>
          <w:rFonts w:ascii="Georgia" w:cs="Georgia" w:eastAsia="Georgia" w:hAnsi="Georgia"/>
          <w:color w:val="1F3864"/>
          <w:sz w:val="20"/>
          <w:szCs w:val="20"/>
        </w:rPr>
        <w:t xml:space="preserve">Atmosphere İçin Çıkarımlar ve Stratejik Öneriler</w:t>
      </w:r>
    </w:p>
    <w:p>
      <w:pPr>
        <w:spacing w:after="120"/>
      </w:pPr>
      <w:r>
        <w:rPr>
          <w:rFonts w:ascii="Georgia" w:cs="Georgia" w:eastAsia="Georgia" w:hAnsi="Georgia"/>
          <w:b/>
          <w:bCs/>
          <w:color w:val="8C6D1F"/>
          <w:sz w:val="20"/>
          <w:szCs w:val="20"/>
        </w:rPr>
        <w:t xml:space="preserve">11.    </w:t>
      </w:r>
      <w:r>
        <w:rPr>
          <w:rFonts w:ascii="Georgia" w:cs="Georgia" w:eastAsia="Georgia" w:hAnsi="Georgia"/>
          <w:color w:val="1F3864"/>
          <w:sz w:val="20"/>
          <w:szCs w:val="20"/>
        </w:rPr>
        <w:t xml:space="preserve">Ek A — Kaynakça</w:t>
      </w:r>
    </w:p>
    <w:p>
      <w:pPr>
        <w:spacing w:after="120"/>
      </w:pPr>
      <w:r>
        <w:rPr>
          <w:rFonts w:ascii="Georgia" w:cs="Georgia" w:eastAsia="Georgia" w:hAnsi="Georgia"/>
          <w:b/>
          <w:bCs/>
          <w:color w:val="8C6D1F"/>
          <w:sz w:val="20"/>
          <w:szCs w:val="20"/>
        </w:rPr>
        <w:t xml:space="preserve">12.    </w:t>
      </w:r>
      <w:r>
        <w:rPr>
          <w:rFonts w:ascii="Georgia" w:cs="Georgia" w:eastAsia="Georgia" w:hAnsi="Georgia"/>
          <w:color w:val="1F3864"/>
          <w:sz w:val="20"/>
          <w:szCs w:val="20"/>
        </w:rPr>
        <w:t xml:space="preserve">Ek B — Metodoloji Notları ve Sınırlamalar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1  </w:t>
      </w:r>
      <w:r>
        <w:rPr>
          <w:rFonts w:ascii="Georgia" w:cs="Georgia" w:eastAsia="Georgia" w:hAnsi="Georgia"/>
          <w:b/>
          <w:bCs/>
          <w:color w:val="1F3864"/>
          <w:spacing w:val="14"/>
          <w:sz w:val="26"/>
          <w:szCs w:val="26"/>
        </w:rPr>
        <w:t xml:space="preserve">YÖNETICI ÖZETI</w:t>
      </w:r>
    </w:p>
    <w:p>
      <w:pPr>
        <w:spacing w:after="140" w:line="264"/>
        <w:jc w:val="both"/>
      </w:pPr>
      <w:r>
        <w:rPr>
          <w:rFonts w:ascii="Georgia" w:cs="Georgia" w:eastAsia="Georgia" w:hAnsi="Georgia"/>
          <w:color w:val="1A1A1A"/>
          <w:sz w:val="20"/>
          <w:szCs w:val="20"/>
        </w:rPr>
        <w:t xml:space="preserve">ABD, üyelik satmayı bir işletme modeli olmaktan çıkarıp bir ekonomik altyapıya dönüştürmüş durumdadır. Bir tüketici bugün alışverişini (Costco, Sam's Club, Amazon Prime), sağlığını (health club), çalışmasını (co-working), sosyalleşmesini (private members' club) ve giderek dinlenmesini (social wellness club) ayrı ayrı aidatlarla satın almaktadır. Bu Rapor söz konusu pazarın yapısını, talep dinamiklerini ve üyelik gelirinin ekonomisini incelemekte; bulguları Atmosphere'in "üyelik bir ödeme kapısı değil, bir aidiyet aracıdır" tezi ile karşılaştırmaktadır.</w:t>
      </w:r>
    </w:p>
    <w:p>
      <w:pPr>
        <w:spacing w:after="90" w:before="180"/>
      </w:pPr>
      <w:r>
        <w:rPr>
          <w:rFonts w:ascii="Georgia" w:cs="Georgia" w:eastAsia="Georgia" w:hAnsi="Georgia"/>
          <w:b/>
          <w:bCs/>
          <w:i/>
          <w:iCs/>
          <w:color w:val="595959"/>
          <w:sz w:val="20"/>
          <w:szCs w:val="20"/>
        </w:rPr>
        <w:t xml:space="preserve">Temel bulgular</w:t>
      </w:r>
    </w:p>
    <w:p>
      <w:pPr>
        <w:pStyle w:val="ListParagraph"/>
        <w:numPr>
          <w:ilvl w:val="0"/>
          <w:numId w:val="2"/>
        </w:numPr>
        <w:spacing w:after="90" w:line="264"/>
        <w:jc w:val="both"/>
      </w:pPr>
      <w:r>
        <w:rPr>
          <w:rFonts w:ascii="Georgia" w:cs="Georgia" w:eastAsia="Georgia" w:hAnsi="Georgia"/>
          <w:b/>
          <w:bCs/>
          <w:color w:val="1F3864"/>
          <w:sz w:val="20"/>
          <w:szCs w:val="20"/>
        </w:rPr>
        <w:t xml:space="preserve">Aidat bir gelir kalemi değil, bir kâr havuzudur. </w:t>
      </w:r>
      <w:r>
        <w:rPr>
          <w:rFonts w:ascii="Georgia" w:cs="Georgia" w:eastAsia="Georgia" w:hAnsi="Georgia"/>
          <w:sz w:val="20"/>
          <w:szCs w:val="20"/>
        </w:rPr>
        <w:t xml:space="preserve">Costco'nun 2025 mali yılında elde ettiği 5,32 milyar dolarlık üyelik aidatı geliri, aynı yılın 10,38 milyar dolarlık faaliyet kârının yaklaşık yarısına denk gelmektedir. Aidatın marjinal maliyeti sıfıra yakındır; dolayısıyla üyelik geliri doğrudan kâra akan bir annüite işlevi görür.</w:t>
      </w:r>
    </w:p>
    <w:p>
      <w:pPr>
        <w:pStyle w:val="ListParagraph"/>
        <w:numPr>
          <w:ilvl w:val="0"/>
          <w:numId w:val="2"/>
        </w:numPr>
        <w:spacing w:after="90" w:line="264"/>
        <w:jc w:val="both"/>
      </w:pPr>
      <w:r>
        <w:rPr>
          <w:rFonts w:ascii="Georgia" w:cs="Georgia" w:eastAsia="Georgia" w:hAnsi="Georgia"/>
          <w:b/>
          <w:bCs/>
          <w:color w:val="1F3864"/>
          <w:sz w:val="20"/>
          <w:szCs w:val="20"/>
        </w:rPr>
        <w:t xml:space="preserve">Pazar halter (barbell) yapısındadır. </w:t>
      </w:r>
      <w:r>
        <w:rPr>
          <w:rFonts w:ascii="Georgia" w:cs="Georgia" w:eastAsia="Georgia" w:hAnsi="Georgia"/>
          <w:sz w:val="20"/>
          <w:szCs w:val="20"/>
        </w:rPr>
        <w:t xml:space="preserve">Bir uçta yılda 65–139 dolarlık "kamu hizmeti" üyelikleri, diğer uçta 200.000 dolar giriş aidatı isteyen erişim kulüpleri vardır. Sıkışan yer ortadır: New York'ta orta segment kulüplerin, hem fiyat hem ayrıcalık ekseninde konumlanamadıkları için baskı altında oldukları sektör içinden dile getirilmektedir.</w:t>
      </w:r>
    </w:p>
    <w:p>
      <w:pPr>
        <w:pStyle w:val="ListParagraph"/>
        <w:numPr>
          <w:ilvl w:val="0"/>
          <w:numId w:val="2"/>
        </w:numPr>
        <w:spacing w:after="90" w:line="264"/>
        <w:jc w:val="both"/>
      </w:pPr>
      <w:r>
        <w:rPr>
          <w:rFonts w:ascii="Georgia" w:cs="Georgia" w:eastAsia="Georgia" w:hAnsi="Georgia"/>
          <w:b/>
          <w:bCs/>
          <w:color w:val="1F3864"/>
          <w:sz w:val="20"/>
          <w:szCs w:val="20"/>
        </w:rPr>
        <w:t xml:space="preserve">Ücretli perakende üyelik aidatı pazarı 2026'da yaklaşık 61,4 milyar dolardır. </w:t>
      </w:r>
      <w:r>
        <w:rPr>
          <w:rFonts w:ascii="Georgia" w:cs="Georgia" w:eastAsia="Georgia" w:hAnsi="Georgia"/>
          <w:sz w:val="20"/>
          <w:szCs w:val="20"/>
        </w:rPr>
        <w:t xml:space="preserve">Bu havuzun tahminen %68,4'ünü Amazon Prime tek başına almaktadır; Costco %9,0, Walmart+ %5,2, Sam's Club %4,6 pay ile takip etmektedir. Kategori, tek bir oyuncunun bu denli baskın olduğu ender tüketici pazarlarından biridir.</w:t>
      </w:r>
    </w:p>
    <w:p>
      <w:pPr>
        <w:pStyle w:val="ListParagraph"/>
        <w:numPr>
          <w:ilvl w:val="0"/>
          <w:numId w:val="2"/>
        </w:numPr>
        <w:spacing w:after="90" w:line="264"/>
        <w:jc w:val="both"/>
      </w:pPr>
      <w:r>
        <w:rPr>
          <w:rFonts w:ascii="Georgia" w:cs="Georgia" w:eastAsia="Georgia" w:hAnsi="Georgia"/>
          <w:b/>
          <w:bCs/>
          <w:color w:val="1F3864"/>
          <w:sz w:val="20"/>
          <w:szCs w:val="20"/>
        </w:rPr>
        <w:t xml:space="preserve">Fitness, üyeliğin en dirençli kategorisidir. </w:t>
      </w:r>
      <w:r>
        <w:rPr>
          <w:rFonts w:ascii="Georgia" w:cs="Georgia" w:eastAsia="Georgia" w:hAnsi="Georgia"/>
          <w:sz w:val="20"/>
          <w:szCs w:val="20"/>
        </w:rPr>
        <w:t xml:space="preserve">2025'te 81 milyon Amerikalı bir spor tesisine üyeydi (nüfusun %26,1'i); gün geçişleri dahil edildiğinde toplam kullanıcı sayısı 100 milyonu aşmıştır. Amerikalıların yalnızca %23'ü bütçe kısıntısında ilk keseceği kalem olarak fitness'ı işaret etmektedir; buna karşılık %44'ü dışarıda yemeyi, %36'sı seyahati keseceğini söylemektedir.</w:t>
      </w:r>
    </w:p>
    <w:p>
      <w:pPr>
        <w:pStyle w:val="ListParagraph"/>
        <w:numPr>
          <w:ilvl w:val="0"/>
          <w:numId w:val="2"/>
        </w:numPr>
        <w:spacing w:after="90" w:line="264"/>
        <w:jc w:val="both"/>
      </w:pPr>
      <w:r>
        <w:rPr>
          <w:rFonts w:ascii="Georgia" w:cs="Georgia" w:eastAsia="Georgia" w:hAnsi="Georgia"/>
          <w:b/>
          <w:bCs/>
          <w:color w:val="1F3864"/>
          <w:sz w:val="20"/>
          <w:szCs w:val="20"/>
        </w:rPr>
        <w:t xml:space="preserve">Gen Z paradoksu, sektörün en kritik operasyonel sorunudur. </w:t>
      </w:r>
      <w:r>
        <w:rPr>
          <w:rFonts w:ascii="Georgia" w:cs="Georgia" w:eastAsia="Georgia" w:hAnsi="Georgia"/>
          <w:sz w:val="20"/>
          <w:szCs w:val="20"/>
        </w:rPr>
        <w:t xml:space="preserve">18–24 yaş grubu %35,5 ile en yüksek üyelik penetrasyonuna sahip kohorttur ve 2025'teki yeni üyeliklerin yaklaşık yarısını oluşturmuştur; ancak aynı kohortun churn oranı %54,4 ile en yüksektir. Genç üye kolay kazanılır, zor tutulur.</w:t>
      </w:r>
    </w:p>
    <w:p>
      <w:pPr>
        <w:pStyle w:val="ListParagraph"/>
        <w:numPr>
          <w:ilvl w:val="0"/>
          <w:numId w:val="2"/>
        </w:numPr>
        <w:spacing w:after="90" w:line="264"/>
        <w:jc w:val="both"/>
      </w:pPr>
      <w:r>
        <w:rPr>
          <w:rFonts w:ascii="Georgia" w:cs="Georgia" w:eastAsia="Georgia" w:hAnsi="Georgia"/>
          <w:b/>
          <w:bCs/>
          <w:color w:val="1F3864"/>
          <w:sz w:val="20"/>
          <w:szCs w:val="20"/>
        </w:rPr>
        <w:t xml:space="preserve">Üye sayısı değil, üye başına değer büyümektedir. </w:t>
      </w:r>
      <w:r>
        <w:rPr>
          <w:rFonts w:ascii="Georgia" w:cs="Georgia" w:eastAsia="Georgia" w:hAnsi="Georgia"/>
          <w:sz w:val="20"/>
          <w:szCs w:val="20"/>
        </w:rPr>
        <w:t xml:space="preserve">Life Time 2026'nın ikinci çeyreğinde üye sayısını yalnızca %1,2 artırırken üye başına ortalama geliri %11,8 artışla 993 dolara çıkarmış ve toplam gelirini %13,7 büyütmüştür. Premium üyelik modelinde büyüme, kapıdan giren kişi sayısından değil, içeride yaşanan deneyimin derinliğinden gelmektedir.</w:t>
      </w:r>
    </w:p>
    <w:p>
      <w:pPr>
        <w:pStyle w:val="ListParagraph"/>
        <w:numPr>
          <w:ilvl w:val="0"/>
          <w:numId w:val="2"/>
        </w:numPr>
        <w:spacing w:after="90" w:line="264"/>
        <w:jc w:val="both"/>
      </w:pPr>
      <w:r>
        <w:rPr>
          <w:rFonts w:ascii="Georgia" w:cs="Georgia" w:eastAsia="Georgia" w:hAnsi="Georgia"/>
          <w:b/>
          <w:bCs/>
          <w:color w:val="1F3864"/>
          <w:sz w:val="20"/>
          <w:szCs w:val="20"/>
        </w:rPr>
        <w:t xml:space="preserve">Talebin arkasındaki asıl itici güç üçüncü mekân açığıdır. </w:t>
      </w:r>
      <w:r>
        <w:rPr>
          <w:rFonts w:ascii="Georgia" w:cs="Georgia" w:eastAsia="Georgia" w:hAnsi="Georgia"/>
          <w:sz w:val="20"/>
          <w:szCs w:val="20"/>
        </w:rPr>
        <w:t xml:space="preserve">2024 tarihli bir Harvard araştırması, yetişkinlerin %67'sinin anlamlı bir gruba ait olmadıkları için sosyal ve duygusal yalnızlık hissettiğini ortaya koymuştur. Koşu kulüplerinden sauna ve buz banyosu kulüplerine kadar yeni formatların hızlı büyümesi, bu açığın ticarileşmesidir.</w:t>
      </w:r>
    </w:p>
    <w:p>
      <w:pPr>
        <w:pStyle w:val="ListParagraph"/>
        <w:numPr>
          <w:ilvl w:val="0"/>
          <w:numId w:val="2"/>
        </w:numPr>
        <w:spacing w:after="90" w:line="264"/>
        <w:jc w:val="both"/>
      </w:pPr>
      <w:r>
        <w:rPr>
          <w:rFonts w:ascii="Georgia" w:cs="Georgia" w:eastAsia="Georgia" w:hAnsi="Georgia"/>
          <w:b/>
          <w:bCs/>
          <w:color w:val="1F3864"/>
          <w:sz w:val="20"/>
          <w:szCs w:val="20"/>
        </w:rPr>
        <w:t xml:space="preserve">Abonelik yorgunluğu bir konsolidasyon dalgası yaratmaktadır. </w:t>
      </w:r>
      <w:r>
        <w:rPr>
          <w:rFonts w:ascii="Georgia" w:cs="Georgia" w:eastAsia="Georgia" w:hAnsi="Georgia"/>
          <w:sz w:val="20"/>
          <w:szCs w:val="20"/>
        </w:rPr>
        <w:t xml:space="preserve">Ortalama ABD'li yetişkinin aktif ücretli abonelik sayısı 2023'te 4,4 iken 2026'da 3,4'e gerilemiştir. Tüketici abonelik sayısını azaltırken toplam harcamasını artırmaktadır: daha az sayıda, ama daha derin ilişki. Hayatta kalacak üyelikler, kesilmesi kimlik kaybı gibi hissedilen üyelikler olacaktır.</w:t>
      </w:r>
    </w:p>
    <w:p>
      <w:pPr>
        <w:spacing w:after="90" w:before="180"/>
      </w:pPr>
      <w:r>
        <w:rPr>
          <w:rFonts w:ascii="Georgia" w:cs="Georgia" w:eastAsia="Georgia" w:hAnsi="Georgia"/>
          <w:b/>
          <w:bCs/>
          <w:i/>
          <w:iCs/>
          <w:color w:val="595959"/>
          <w:sz w:val="20"/>
          <w:szCs w:val="20"/>
        </w:rPr>
        <w:t xml:space="preserve">Atmosphere tezine ilişkin değerlendirme</w:t>
      </w:r>
    </w:p>
    <w:p>
      <w:pPr>
        <w:spacing w:after="140" w:line="264"/>
        <w:jc w:val="both"/>
      </w:pPr>
      <w:r>
        <w:rPr>
          <w:rFonts w:ascii="Georgia" w:cs="Georgia" w:eastAsia="Georgia" w:hAnsi="Georgia"/>
          <w:color w:val="1A1A1A"/>
          <w:sz w:val="20"/>
          <w:szCs w:val="20"/>
        </w:rPr>
        <w:t xml:space="preserve">Atmosphere'in üyelik felsefesinde savunulan çekirdek önerme — ücretin bir engel değil, bir bağlılık işareti olduğu — piyasa verisiyle geniş ölçüde uyumludur. Costco'nun 2024 Eylül'ündeki aidat zammına rağmen ABD/Kanada yenileme oranını %92,3 seviyesinde koruması, ödenen bedelin sadakati bozmadığını, hatta seçilmiş bir üye tabanı yarattığını göstermektedir. Ancak Rapor, tezin iki noktada nitelendirilmesi gerektiğini tespit etmektedir. Birincisi, ücretin yarattığı bağlılık girişte oluşur; sürdürülmesi kullanım sıklığına bağlıdır. Costco'nun yenileme oranı psikolojik değil aritmetiktir — üye aidatını ilk bir-iki ziyarette geri kazanır. İkincisi, genç kohortta ücret, bağlılıktan önce bir bütçe kalemi olarak değerlendirilmektedir; Gen Z katılımcıların %41'i abonelik harcamalarının karşılayabileceklerinin üzerinde olduğunu beyan etmektedir.</w:t>
      </w:r>
    </w:p>
    <w:p>
      <w:pPr>
        <w:pBdr>
          <w:left w:val="single" w:color="8C6D1F" w:sz="18" w:space="12"/>
        </w:pBdr>
        <w:spacing w:after="220" w:before="200"/>
        <w:ind w:left="340" w:right="340"/>
        <w:jc w:val="left"/>
      </w:pPr>
      <w:r>
        <w:rPr>
          <w:rFonts w:ascii="Georgia" w:cs="Georgia" w:eastAsia="Georgia" w:hAnsi="Georgia"/>
          <w:i/>
          <w:iCs/>
          <w:color w:val="1F3864"/>
          <w:sz w:val="20"/>
          <w:szCs w:val="20"/>
        </w:rPr>
        <w:t xml:space="preserve">Ana sonuç: Atmosphere için doğru soru "aidat ne kadar olmalı" değil, "üyenin ilk 90 günde aidatının karşılığını kaç kez hissettiği bir ritim kurabiliyor muyuz" sorusudur. Üyelik ekonomisinin tamamı bu tek metriğin etrafında döner. Aidiyet aidatla başlar, ama aidatla korunmaz.</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2  </w:t>
      </w:r>
      <w:r>
        <w:rPr>
          <w:rFonts w:ascii="Georgia" w:cs="Georgia" w:eastAsia="Georgia" w:hAnsi="Georgia"/>
          <w:b/>
          <w:bCs/>
          <w:color w:val="1F3864"/>
          <w:spacing w:val="14"/>
          <w:sz w:val="26"/>
          <w:szCs w:val="26"/>
        </w:rPr>
        <w:t xml:space="preserve">KAPSAM, METODOLOJI VE TANIMLAR</w:t>
      </w:r>
    </w:p>
    <w:p>
      <w:pPr>
        <w:spacing w:after="140" w:line="264"/>
        <w:jc w:val="both"/>
      </w:pPr>
      <w:r>
        <w:rPr>
          <w:rFonts w:ascii="Georgia" w:cs="Georgia" w:eastAsia="Georgia" w:hAnsi="Georgia"/>
          <w:color w:val="1A1A1A"/>
          <w:sz w:val="20"/>
          <w:szCs w:val="20"/>
        </w:rPr>
        <w:t xml:space="preserve">Rapor, tüketiciye doğrudan üyelik satan ABD pazarını beş katmanda ele almaktadır. Kapsam bilinçli olarak geniş tutulmuştur: Atmosphere'in rakip kümesi yalnızca benzer kulüpler değil, tüketicinin aylık "üyelik bütçesi" için yarışan tüm aidat kalemleridir. Bir üyenin cüzdanında Prime, Costco, spor salonu, streaming ve co-working aidatları aynı hatta yer alır; bu nedenle rekabet analizi kategori sınırlarının dışına taşınmıştır.</w:t>
      </w:r>
    </w:p>
    <w:p>
      <w:pPr>
        <w:spacing w:after="140" w:line="264"/>
        <w:jc w:val="both"/>
      </w:pPr>
      <w:r>
        <w:rPr>
          <w:rFonts w:ascii="Georgia" w:cs="Georgia" w:eastAsia="Georgia" w:hAnsi="Georgia"/>
          <w:color w:val="1A1A1A"/>
          <w:sz w:val="20"/>
          <w:szCs w:val="20"/>
        </w:rPr>
        <w:t xml:space="preserve">Metodolojik olarak üç veri katmanı kullanılmıştır: (i) halka açık şirketlerin raporlanmış finansal ve operasyonel metrikleri (Costco, Walmart/Sam's Club, BJ's Wholesale, Life Time, Planet Fitness, Soho House); (ii) sektör birliklerinin yıllık araştırmaları (Health &amp; Fitness Association, CoworkingCafe/Yardi); (iii) ticari araştırma sağlayıcıları ve basına yansıyan fiyat beyanları. Farklı sağlayıcıların aynı pazar için verdiği rakamlar arasında ciddi ayrışma bulunduğu yerlerde bu ayrışma gizlenmemiş, aralık olarak sunulmuştur.</w:t>
      </w:r>
    </w:p>
    <w:p>
      <w:pPr>
        <w:spacing w:after="90" w:before="200"/>
      </w:pPr>
      <w:r>
        <w:rPr>
          <w:rFonts w:ascii="Georgia" w:cs="Georgia" w:eastAsia="Georgia" w:hAnsi="Georgia"/>
          <w:b/>
          <w:bCs/>
          <w:caps/>
          <w:color w:val="8C6D1F"/>
          <w:spacing w:val="10"/>
          <w:sz w:val="17"/>
          <w:szCs w:val="17"/>
        </w:rPr>
        <w:t xml:space="preserve">Tablo 1 — Çalışma boyunca kullanılan tanımlar</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2500"/>
        <w:gridCol w:w="7580"/>
      </w:tblGrid>
      <w:tr>
        <w:trPr>
          <w:tblHeader/>
        </w:trPr>
        <w:tc>
          <w:tcPr>
            <w:tcW w:type="dxa" w:w="25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Terim</w:t>
            </w:r>
          </w:p>
        </w:tc>
        <w:tc>
          <w:tcPr>
            <w:tcW w:type="dxa" w:w="75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Tanım</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Üyelik (membership)</w:t>
            </w:r>
          </w:p>
        </w:tc>
        <w:tc>
          <w:tcPr>
            <w:tcW w:type="dxa" w:w="75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Erişim, statü veya topluluğa dahil olma karşılığında dönemsel olarak ödenen ve kullanım hacminden bağımsız olan bedel. Ürün başına ödemeden (transaction) ve kullanım başına ödemeden (usage) ayrışır.</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Giriş aidatı (initiation fee)</w:t>
            </w:r>
          </w:p>
        </w:tc>
        <w:tc>
          <w:tcPr>
            <w:tcW w:type="dxa" w:w="75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Üyeliğe kabul anında bir defaya mahsus alınan, genellikle iade edilmeyen bedel. Seçicilik sinyali ve nakit akışını öne çekme aracıdır.</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Aidat dışı gelir (non-dues revenue)</w:t>
            </w:r>
          </w:p>
        </w:tc>
        <w:tc>
          <w:tcPr>
            <w:tcW w:type="dxa" w:w="75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Üyenin tesis içinde yaptığı ek harcama: yiyecek-içecek, eğitmen ve hizmet, etkinlik, misafir geçişi, perakende.</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Yenileme oranı (renewal rate)</w:t>
            </w:r>
          </w:p>
        </w:tc>
        <w:tc>
          <w:tcPr>
            <w:tcW w:type="dxa" w:w="75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Dönem sonunda üyeliğini yenileyen üyelerin oranı. "Tenured" versiyonu ilk yılını tamamlamış üyeleri ölçer ve daha anlamlıdır.</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Üçüncü mekân (third place)</w:t>
            </w:r>
          </w:p>
        </w:tc>
        <w:tc>
          <w:tcPr>
            <w:tcW w:type="dxa" w:w="75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Ev (birinci) ve iş (ikinci) dışında, gönüllü ve düzenli bir araya gelmenin gerçekleştiği eşitlikçi sosyal mekân (Oldenburg, 1989).</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Cüzdan payı / hafta payı</w:t>
            </w:r>
          </w:p>
        </w:tc>
        <w:tc>
          <w:tcPr>
            <w:tcW w:type="dxa" w:w="75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Üyenin ilgili kategorideki toplam harcaması veya boş zamanı içinde işletmeye düşen pay. Çoklu üyelik ortamında üye sayısından daha açıklayıcıdır.</w:t>
            </w:r>
          </w:p>
        </w:tc>
      </w:tr>
    </w:tbl>
    <w:p>
      <w:pPr>
        <w:spacing w:after="200" w:before="70"/>
      </w:pPr>
      <w:r>
        <w:rPr>
          <w:rFonts w:ascii="Georgia" w:cs="Georgia" w:eastAsia="Georgia" w:hAnsi="Georgia"/>
          <w:i/>
          <w:iCs/>
          <w:color w:val="595959"/>
          <w:sz w:val="15"/>
          <w:szCs w:val="15"/>
        </w:rPr>
        <w:t xml:space="preserve">Kaynak: Value Masters Academy tanımlamaları; Oldenburg (1989).</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3  </w:t>
      </w:r>
      <w:r>
        <w:rPr>
          <w:rFonts w:ascii="Georgia" w:cs="Georgia" w:eastAsia="Georgia" w:hAnsi="Georgia"/>
          <w:b/>
          <w:bCs/>
          <w:color w:val="1F3864"/>
          <w:spacing w:val="14"/>
          <w:sz w:val="26"/>
          <w:szCs w:val="26"/>
        </w:rPr>
        <w:t xml:space="preserve">PAZARIN ANATOMISI: BEŞ KATMANLI ÜYELIK HARITASI</w:t>
      </w:r>
    </w:p>
    <w:p>
      <w:pPr>
        <w:spacing w:after="140" w:line="264"/>
        <w:jc w:val="both"/>
      </w:pPr>
      <w:r>
        <w:rPr>
          <w:rFonts w:ascii="Georgia" w:cs="Georgia" w:eastAsia="Georgia" w:hAnsi="Georgia"/>
          <w:color w:val="1A1A1A"/>
          <w:sz w:val="20"/>
          <w:szCs w:val="20"/>
        </w:rPr>
        <w:t xml:space="preserve">ABD üyelik pazarı homojen bir kategori değil, birbirinden çok farklı ekonomilere sahip beş katmandan oluşur. Katmanlar arasındaki temel ayrım, üyenin ne satın aldığıdır: tasarruf mu, erişim mi, kimlik mi. Bu ayrım fiyatlamayı, yenileme davranışını ve gerekli sermaye yoğunluğunu doğrudan belirler.</w:t>
      </w:r>
    </w:p>
    <w:p>
      <w:pPr>
        <w:spacing w:after="90" w:before="200"/>
      </w:pPr>
      <w:r>
        <w:rPr>
          <w:rFonts w:ascii="Georgia" w:cs="Georgia" w:eastAsia="Georgia" w:hAnsi="Georgia"/>
          <w:b/>
          <w:bCs/>
          <w:caps/>
          <w:color w:val="8C6D1F"/>
          <w:spacing w:val="10"/>
          <w:sz w:val="17"/>
          <w:szCs w:val="17"/>
        </w:rPr>
        <w:t xml:space="preserve">Tablo 2 — ABD üyelik pazarının katman haritası</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1500"/>
        <w:gridCol w:w="2050"/>
        <w:gridCol w:w="1600"/>
        <w:gridCol w:w="1600"/>
        <w:gridCol w:w="3330"/>
      </w:tblGrid>
      <w:tr>
        <w:trPr>
          <w:tblHeader/>
        </w:trPr>
        <w:tc>
          <w:tcPr>
            <w:tcW w:type="dxa" w:w="15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Katman</w:t>
            </w:r>
          </w:p>
        </w:tc>
        <w:tc>
          <w:tcPr>
            <w:tcW w:type="dxa" w:w="205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Temsilciler</w:t>
            </w:r>
          </w:p>
        </w:tc>
        <w:tc>
          <w:tcPr>
            <w:tcW w:type="dxa" w:w="16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Tipik Bedel</w:t>
            </w:r>
          </w:p>
        </w:tc>
        <w:tc>
          <w:tcPr>
            <w:tcW w:type="dxa" w:w="16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Üyenin Aldığı</w:t>
            </w:r>
          </w:p>
        </w:tc>
        <w:tc>
          <w:tcPr>
            <w:tcW w:type="dxa" w:w="333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Ekonomik Mantık</w:t>
            </w:r>
          </w:p>
        </w:tc>
      </w:tr>
      <w:tr>
        <w:trPr>
          <w:tblHeader w:val="false"/>
        </w:trPr>
        <w:tc>
          <w:tcPr>
            <w:tcW w:type="dxa" w:w="1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I. Fayda / depo kulübü</w:t>
            </w:r>
          </w:p>
        </w:tc>
        <w:tc>
          <w:tcPr>
            <w:tcW w:type="dxa" w:w="20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Costco, Sam's Club, BJ's, Amazon Prime, Walmart+</w:t>
            </w:r>
          </w:p>
        </w:tc>
        <w:tc>
          <w:tcPr>
            <w:tcW w:type="dxa" w:w="16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65–139 USD / yıl</w:t>
            </w:r>
          </w:p>
        </w:tc>
        <w:tc>
          <w:tcPr>
            <w:tcW w:type="dxa" w:w="16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Tasarruf ve kolaylık</w:t>
            </w:r>
          </w:p>
        </w:tc>
        <w:tc>
          <w:tcPr>
            <w:tcW w:type="dxa" w:w="33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Aidat, düşük perakende marjını sübvanse eder. Geri ödeme süresi haftalarla ölçülür; yenileme aritmetiktir.</w:t>
            </w:r>
          </w:p>
        </w:tc>
      </w:tr>
      <w:tr>
        <w:trPr>
          <w:tblHeader w:val="false"/>
        </w:trPr>
        <w:tc>
          <w:tcPr>
            <w:tcW w:type="dxa" w:w="1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II. Dijital abonelik</w:t>
            </w:r>
          </w:p>
        </w:tc>
        <w:tc>
          <w:tcPr>
            <w:tcW w:type="dxa" w:w="20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Streaming, müzik, oyun, yazılım, yapay zekâ araçları</w:t>
            </w:r>
          </w:p>
        </w:tc>
        <w:tc>
          <w:tcPr>
            <w:tcW w:type="dxa" w:w="1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10–30 USD / ay</w:t>
            </w:r>
          </w:p>
        </w:tc>
        <w:tc>
          <w:tcPr>
            <w:tcW w:type="dxa" w:w="1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İçerik ve işlev</w:t>
            </w:r>
          </w:p>
        </w:tc>
        <w:tc>
          <w:tcPr>
            <w:tcW w:type="dxa" w:w="333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Sıfır marjinal maliyet, sıfır fiziksel sürtünme. En kolay iptal edilen katman; konsolidasyon baskısı buradadır.</w:t>
            </w:r>
          </w:p>
        </w:tc>
      </w:tr>
      <w:tr>
        <w:trPr>
          <w:tblHeader w:val="false"/>
        </w:trPr>
        <w:tc>
          <w:tcPr>
            <w:tcW w:type="dxa" w:w="1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III. Spor ve sağlık kulübü</w:t>
            </w:r>
          </w:p>
        </w:tc>
        <w:tc>
          <w:tcPr>
            <w:tcW w:type="dxa" w:w="20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Planet Fitness, Crunch, Life Time, Equinox, butik stüdyolar</w:t>
            </w:r>
          </w:p>
        </w:tc>
        <w:tc>
          <w:tcPr>
            <w:tcW w:type="dxa" w:w="16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15–300+ USD / ay</w:t>
            </w:r>
          </w:p>
        </w:tc>
        <w:tc>
          <w:tcPr>
            <w:tcW w:type="dxa" w:w="16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Erişim ve alışkanlık</w:t>
            </w:r>
          </w:p>
        </w:tc>
        <w:tc>
          <w:tcPr>
            <w:tcW w:type="dxa" w:w="33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 sabit maliyet, kapasite üstü satış modeli. Değer, kullanım sıklığıyla doğrusal artar.</w:t>
            </w:r>
          </w:p>
        </w:tc>
      </w:tr>
      <w:tr>
        <w:trPr>
          <w:tblHeader w:val="false"/>
        </w:trPr>
        <w:tc>
          <w:tcPr>
            <w:tcW w:type="dxa" w:w="1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IV. Çalışma alanı</w:t>
            </w:r>
          </w:p>
        </w:tc>
        <w:tc>
          <w:tcPr>
            <w:tcW w:type="dxa" w:w="20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IWG/Regus, WeWork, bağımsız co-working operatörleri</w:t>
            </w:r>
          </w:p>
        </w:tc>
        <w:tc>
          <w:tcPr>
            <w:tcW w:type="dxa" w:w="1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225 USD / ay (medyan)</w:t>
            </w:r>
          </w:p>
        </w:tc>
        <w:tc>
          <w:tcPr>
            <w:tcW w:type="dxa" w:w="1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Mekân ve altyapı</w:t>
            </w:r>
          </w:p>
        </w:tc>
        <w:tc>
          <w:tcPr>
            <w:tcW w:type="dxa" w:w="333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Gayrimenkul arbitrajı: uzun kira, kısa üyelik. Doluluk kritik eşiğin altına düştüğünde model çöker.</w:t>
            </w:r>
          </w:p>
        </w:tc>
      </w:tr>
      <w:tr>
        <w:trPr>
          <w:tblHeader w:val="false"/>
        </w:trPr>
        <w:tc>
          <w:tcPr>
            <w:tcW w:type="dxa" w:w="1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V. Sosyal / özel kulüp</w:t>
            </w:r>
          </w:p>
        </w:tc>
        <w:tc>
          <w:tcPr>
            <w:tcW w:type="dxa" w:w="20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Soho House, Zero Bond, Casa Cipriani, Core Club, Aman Club; sosyal wellness kulüpleri</w:t>
            </w:r>
          </w:p>
        </w:tc>
        <w:tc>
          <w:tcPr>
            <w:tcW w:type="dxa" w:w="16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2.750–15.000+ USD / yıl (+ giriş aidatı)</w:t>
            </w:r>
          </w:p>
        </w:tc>
        <w:tc>
          <w:tcPr>
            <w:tcW w:type="dxa" w:w="16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Kimlik, ağ, dışlayıcılık</w:t>
            </w:r>
          </w:p>
        </w:tc>
        <w:tc>
          <w:tcPr>
            <w:tcW w:type="dxa" w:w="33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Kıtlık üretimi. Değer, kabul edilmeyenlerin varlığından doğar; kapasite büyümesi ürünün kendisini bozar.</w:t>
            </w:r>
          </w:p>
        </w:tc>
      </w:tr>
    </w:tbl>
    <w:p>
      <w:pPr>
        <w:spacing w:after="200" w:before="70"/>
      </w:pPr>
      <w:r>
        <w:rPr>
          <w:rFonts w:ascii="Georgia" w:cs="Georgia" w:eastAsia="Georgia" w:hAnsi="Georgia"/>
          <w:i/>
          <w:iCs/>
          <w:color w:val="595959"/>
          <w:sz w:val="15"/>
          <w:szCs w:val="15"/>
        </w:rPr>
        <w:t xml:space="preserve">Kaynak: Value Masters Academy analizi; şirket açıklamaları, CoworkingCafe (2026), basına yansıyan fiyat beyanları.</w:t>
      </w:r>
    </w:p>
    <w:p>
      <w:pPr>
        <w:pStyle w:val="Heading2"/>
        <w:spacing w:after="110" w:before="260"/>
      </w:pPr>
      <w:r>
        <w:rPr>
          <w:rFonts w:ascii="Georgia" w:cs="Georgia" w:eastAsia="Georgia" w:hAnsi="Georgia"/>
          <w:b/>
          <w:bCs/>
          <w:color w:val="1F3864"/>
          <w:sz w:val="22"/>
          <w:szCs w:val="22"/>
        </w:rPr>
        <w:t xml:space="preserve">Atmosphere nerede duruyor?</w:t>
      </w:r>
    </w:p>
    <w:p>
      <w:pPr>
        <w:spacing w:after="140" w:line="264"/>
        <w:jc w:val="both"/>
      </w:pPr>
      <w:r>
        <w:rPr>
          <w:rFonts w:ascii="Georgia" w:cs="Georgia" w:eastAsia="Georgia" w:hAnsi="Georgia"/>
          <w:color w:val="1A1A1A"/>
          <w:sz w:val="20"/>
          <w:szCs w:val="20"/>
        </w:rPr>
        <w:t xml:space="preserve">Atmosphere'in tanımladığı konum — workspace, co-working, gym ve health club'ı tek bir üçüncü mekân çatısı altında birleştiren bir kulüp — III, IV ve V. katmanların kesişiminde yer almaktadır. Bu kesişim, pazarın en hızlı büyüyen ancak operasyonel olarak en zorlu bölgesidir. Nedeni yapısaldır: model, üç farklı katmanın maliyet yapısını (spor tesisinin sermaye yoğunluğu, ofisin gayrimenkul yükü, kulübün hizmet yoğunluğu) aynı anda üstlenirken üyeden tek bir aidat almaktadır. Bu modelin kârlı çalıştığı yerlerde ortak payda, aidatın toplam gelirin yalnızca bir bölümünü oluşturması ve aidat dışı gelirin (yiyecek-içecek, eğitim, etkinlik, hizmet) ana kaldıraç hâline gelmesidir.</w:t>
      </w:r>
    </w:p>
    <w:p>
      <w:pPr>
        <w:spacing w:after="140" w:line="264"/>
        <w:jc w:val="both"/>
      </w:pPr>
      <w:r>
        <w:rPr>
          <w:rFonts w:ascii="Georgia" w:cs="Georgia" w:eastAsia="Georgia" w:hAnsi="Georgia"/>
          <w:color w:val="1A1A1A"/>
          <w:sz w:val="20"/>
          <w:szCs w:val="20"/>
        </w:rPr>
        <w:t xml:space="preserve">ABD'de bu kesişimi en açık şekilde temsil eden ölçekli oyuncu Life Time'dır; şirket kendi modelini "premium athletic country club" olarak tanımlamakta ve büyümesini yeni üye kazanımından ziyade mevcut üyenin kulüp içi harcamasından elde etmektedir. Aynı mantığın küçük ölçekli ve daha sosyal versiyonu, son iki yılda hızla sermaye çeken sosyal wellness kulüpleridir.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4  </w:t>
      </w:r>
      <w:r>
        <w:rPr>
          <w:rFonts w:ascii="Georgia" w:cs="Georgia" w:eastAsia="Georgia" w:hAnsi="Georgia"/>
          <w:b/>
          <w:bCs/>
          <w:color w:val="1F3864"/>
          <w:spacing w:val="14"/>
          <w:sz w:val="26"/>
          <w:szCs w:val="26"/>
        </w:rPr>
        <w:t xml:space="preserve">PAZAR BÜYÜKLÜĞÜ VE BÜYÜME DINAMIKLERI</w:t>
      </w:r>
    </w:p>
    <w:p>
      <w:pPr>
        <w:spacing w:after="140" w:line="264"/>
        <w:jc w:val="both"/>
      </w:pPr>
      <w:r>
        <w:rPr>
          <w:rFonts w:ascii="Georgia" w:cs="Georgia" w:eastAsia="Georgia" w:hAnsi="Georgia"/>
          <w:color w:val="1A1A1A"/>
          <w:sz w:val="20"/>
          <w:szCs w:val="20"/>
        </w:rPr>
        <w:t xml:space="preserve">Aşağıdaki tablo beş katmanın ölçeklerini karşılaştırılabilir hâle getirmektedir. Kritik uyarı: rakamlar farklı tanımlara dayanmaktadır. Perakende üyelik satırı yalnızca aidat gelirini ölçer (ürün satışını değil); spor kulübü satırı toplam sektör cirosunu ölçer (yalnızca aidatı değil); co-working satırı ciro yerine fiziksel arzı ölçer. Bu nedenle satırlar toplanamaz.</w:t>
      </w:r>
    </w:p>
    <w:p>
      <w:pPr>
        <w:spacing w:after="90" w:before="200"/>
      </w:pPr>
      <w:r>
        <w:rPr>
          <w:rFonts w:ascii="Georgia" w:cs="Georgia" w:eastAsia="Georgia" w:hAnsi="Georgia"/>
          <w:b/>
          <w:bCs/>
          <w:caps/>
          <w:color w:val="8C6D1F"/>
          <w:spacing w:val="10"/>
          <w:sz w:val="17"/>
          <w:szCs w:val="17"/>
        </w:rPr>
        <w:t xml:space="preserve">Tablo 3 — Segment bazında ABD pazar ölçekleri (2026)</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2500"/>
        <w:gridCol w:w="2250"/>
        <w:gridCol w:w="2050"/>
        <w:gridCol w:w="3280"/>
      </w:tblGrid>
      <w:tr>
        <w:trPr>
          <w:tblHeader/>
        </w:trPr>
        <w:tc>
          <w:tcPr>
            <w:tcW w:type="dxa" w:w="25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Segment</w:t>
            </w:r>
          </w:p>
        </w:tc>
        <w:tc>
          <w:tcPr>
            <w:tcW w:type="dxa" w:w="225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Ölçek (2026)</w:t>
            </w:r>
          </w:p>
        </w:tc>
        <w:tc>
          <w:tcPr>
            <w:tcW w:type="dxa" w:w="205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Büyüme</w:t>
            </w:r>
          </w:p>
        </w:tc>
        <w:tc>
          <w:tcPr>
            <w:tcW w:type="dxa" w:w="32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Yapısal Not</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Ücretli perakende üyelik aidatı geliri</w:t>
            </w:r>
          </w:p>
        </w:tc>
        <w:tc>
          <w:tcPr>
            <w:tcW w:type="dxa" w:w="22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~61,4 mlr USD</w:t>
            </w:r>
          </w:p>
        </w:tc>
        <w:tc>
          <w:tcPr>
            <w:tcW w:type="dxa" w:w="20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Çift haneli; 2025 için ~%10,8 y/y tahmini</w:t>
            </w:r>
          </w:p>
        </w:tc>
        <w:tc>
          <w:tcPr>
            <w:tcW w:type="dxa" w:w="3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Amazon Prime %68,4; Costco %9,0; Walmart+ %5,2; Sam's Club %4,6; BJ's %0,9.</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Spor ve sağlık kulübü sektörü</w:t>
            </w:r>
          </w:p>
        </w:tc>
        <w:tc>
          <w:tcPr>
            <w:tcW w:type="dxa" w:w="22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~47 mlr USD (ciro)</w:t>
            </w:r>
          </w:p>
        </w:tc>
        <w:tc>
          <w:tcPr>
            <w:tcW w:type="dxa" w:w="20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2021–26 YBBO ~%3,6–3,7</w:t>
            </w:r>
          </w:p>
        </w:tc>
        <w:tc>
          <w:tcPr>
            <w:tcW w:type="dxa" w:w="3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~108 bin işletme. 2025'te 81 mn üye ve %26,1 penetrasyon; gün geçişleri ile 100 mn+ kullanıcı.</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Tüketicinin 2026 fitness harcama niyeti</w:t>
            </w:r>
          </w:p>
        </w:tc>
        <w:tc>
          <w:tcPr>
            <w:tcW w:type="dxa" w:w="22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~60 mlr USD</w:t>
            </w:r>
          </w:p>
        </w:tc>
        <w:tc>
          <w:tcPr>
            <w:tcW w:type="dxa" w:w="20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Artan</w:t>
            </w:r>
          </w:p>
        </w:tc>
        <w:tc>
          <w:tcPr>
            <w:tcW w:type="dxa" w:w="3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Amerikalıların %86'sı 2026 hedefleri için tesis erişimini önemli görmektedir.</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Esnek çalışma alanı (co-working)</w:t>
            </w:r>
          </w:p>
        </w:tc>
        <w:tc>
          <w:tcPr>
            <w:tcW w:type="dxa" w:w="22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166,4 mn sq ft / 9.384 lokasyon (2Ç26)</w:t>
            </w:r>
          </w:p>
        </w:tc>
        <w:tc>
          <w:tcPr>
            <w:tcW w:type="dxa" w:w="20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Lokasyon +%2,7 ç/ç; alan +%1,5 ç/ç</w:t>
            </w:r>
          </w:p>
        </w:tc>
        <w:tc>
          <w:tcPr>
            <w:tcW w:type="dxa" w:w="3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Toplam ofis stokunun yalnızca %2,34'ü. İlk beş operatör 2.184 lokasyon; kalan ~%77 bağımsız operatörlerde.</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Özel sosyal kulüp (küresel)</w:t>
            </w:r>
          </w:p>
        </w:tc>
        <w:tc>
          <w:tcPr>
            <w:tcW w:type="dxa" w:w="22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~25,8 mlr USD (2027 tahmini)</w:t>
            </w:r>
          </w:p>
        </w:tc>
        <w:tc>
          <w:tcPr>
            <w:tcW w:type="dxa" w:w="20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2022–27 için ~%11,2 YBBO</w:t>
            </w:r>
          </w:p>
        </w:tc>
        <w:tc>
          <w:tcPr>
            <w:tcW w:type="dxa" w:w="3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ABD'de talep coğrafi olarak son derece yoğunlaşmış; New York tek başına belirleyici.</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Sosyal wellness kulüpleri</w:t>
            </w:r>
          </w:p>
        </w:tc>
        <w:tc>
          <w:tcPr>
            <w:tcW w:type="dxa" w:w="22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Ayrışmış ölçüm yok; erken evre</w:t>
            </w:r>
          </w:p>
        </w:tc>
        <w:tc>
          <w:tcPr>
            <w:tcW w:type="dxa" w:w="20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Girişim ve özel sermaye destekli hızlı büyüme</w:t>
            </w:r>
          </w:p>
        </w:tc>
        <w:tc>
          <w:tcPr>
            <w:tcW w:type="dxa" w:w="3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Aylık 51–375 USD bandında fiyatlama; kurumsal sermayenin yeni giriş yaptığı segment.</w:t>
            </w:r>
          </w:p>
        </w:tc>
      </w:tr>
    </w:tbl>
    <w:p>
      <w:pPr>
        <w:spacing w:after="200" w:before="70"/>
      </w:pPr>
      <w:r>
        <w:rPr>
          <w:rFonts w:ascii="Georgia" w:cs="Georgia" w:eastAsia="Georgia" w:hAnsi="Georgia"/>
          <w:i/>
          <w:iCs/>
          <w:color w:val="595959"/>
          <w:sz w:val="15"/>
          <w:szCs w:val="15"/>
        </w:rPr>
        <w:t xml:space="preserve">Kaynak: eMarketer/ticari veri derlemeleri; IBISWorld; Health &amp; Fitness Association 2026 US Health &amp; Fitness Consumer Report; CoworkingCafe U.S. Coworking Industry Report 2Ç26; Empower/YouGov (Ocak 2026); basına yansıyan sektör tahminleri. Rakamlar farklı tanımlara dayandığından toplanamaz.</w:t>
      </w:r>
    </w:p>
    <w:p>
      <w:pPr>
        <w:pStyle w:val="Heading2"/>
        <w:spacing w:after="110" w:before="260"/>
      </w:pPr>
      <w:r>
        <w:rPr>
          <w:rFonts w:ascii="Georgia" w:cs="Georgia" w:eastAsia="Georgia" w:hAnsi="Georgia"/>
          <w:b/>
          <w:bCs/>
          <w:color w:val="1F3864"/>
          <w:sz w:val="22"/>
          <w:szCs w:val="22"/>
        </w:rPr>
        <w:t xml:space="preserve">Ölçekten okunan üç yapısal sonuç</w:t>
      </w:r>
    </w:p>
    <w:p>
      <w:pPr>
        <w:spacing w:after="90" w:before="180"/>
      </w:pPr>
      <w:r>
        <w:rPr>
          <w:rFonts w:ascii="Georgia" w:cs="Georgia" w:eastAsia="Georgia" w:hAnsi="Georgia"/>
          <w:b/>
          <w:bCs/>
          <w:i/>
          <w:iCs/>
          <w:color w:val="595959"/>
          <w:sz w:val="20"/>
          <w:szCs w:val="20"/>
        </w:rPr>
        <w:t xml:space="preserve">(i) Aidat havuzu tek bir oyuncu tarafından domine edilmektedir</w:t>
      </w:r>
    </w:p>
    <w:p>
      <w:pPr>
        <w:spacing w:after="140" w:line="264"/>
        <w:jc w:val="both"/>
      </w:pPr>
      <w:r>
        <w:rPr>
          <w:rFonts w:ascii="Georgia" w:cs="Georgia" w:eastAsia="Georgia" w:hAnsi="Georgia"/>
          <w:color w:val="1A1A1A"/>
          <w:sz w:val="20"/>
          <w:szCs w:val="20"/>
        </w:rPr>
        <w:t xml:space="preserve">Ücretli perakende üyelik aidatı havuzunun tahminen üçte ikisinden fazlasının Amazon Prime'a gitmesi, tüketicinin "üyelik" kavramına dair beklentisini de tek elden şekillendirmektedir: anında, ölçülebilir ve sürekli fayda. Bir üçüncü mekân kulübü, üyesine bu beklentiyle rekabet ettiğini bilerek fiyatlama yapmalıdır. Prime'ın ABD yetişkinleri arasındaki nüfuzunun 2025 Haziran'ında %54'e gerileyip 2026 Mayıs'ında %64'e yeniden yükselmesi, bu kategoride bile üyeliğin verili olmadığını göstermektedir.</w:t>
      </w:r>
    </w:p>
    <w:p>
      <w:pPr>
        <w:spacing w:after="90" w:before="180"/>
      </w:pPr>
      <w:r>
        <w:rPr>
          <w:rFonts w:ascii="Georgia" w:cs="Georgia" w:eastAsia="Georgia" w:hAnsi="Georgia"/>
          <w:b/>
          <w:bCs/>
          <w:i/>
          <w:iCs/>
          <w:color w:val="595959"/>
          <w:sz w:val="20"/>
          <w:szCs w:val="20"/>
        </w:rPr>
        <w:t xml:space="preserve">(ii) Fiziksel üyelik, dijital abonelikten daha dirençlidir</w:t>
      </w:r>
    </w:p>
    <w:p>
      <w:pPr>
        <w:spacing w:after="140" w:line="264"/>
        <w:jc w:val="both"/>
      </w:pPr>
      <w:r>
        <w:rPr>
          <w:rFonts w:ascii="Georgia" w:cs="Georgia" w:eastAsia="Georgia" w:hAnsi="Georgia"/>
          <w:color w:val="1A1A1A"/>
          <w:sz w:val="20"/>
          <w:szCs w:val="20"/>
        </w:rPr>
        <w:t xml:space="preserve">Dijital aboneliklerde konsolidasyon açıkça başlamıştır: ortalama aktif ücretli abonelik sayısı 2023'te 4,4 iken 2026'da 3,4'e inmiş, tüketicilerin %59,9'u hiç kullanmadığı en az bir aboneliğe sahip olduğunu belirtmiştir. Buna karşılık fiziksel tesis üyeliği rekor seviyededir. Ayrım sürtünmede yatmaktadır: dijital abonelik iptali iki tıklamadır ve kimse fark etmez; bir kulüp üyeliğini bırakmak ise bir topluluğu terk etmektir. Atmosphere'in aidiyet tezinin ticari karşılığı tam olarak buradadır — sosyal maliyet, en güçlü iptal engelidir.</w:t>
      </w:r>
    </w:p>
    <w:p>
      <w:pPr>
        <w:spacing w:after="90" w:before="180"/>
      </w:pPr>
      <w:r>
        <w:rPr>
          <w:rFonts w:ascii="Georgia" w:cs="Georgia" w:eastAsia="Georgia" w:hAnsi="Georgia"/>
          <w:b/>
          <w:bCs/>
          <w:i/>
          <w:iCs/>
          <w:color w:val="595959"/>
          <w:sz w:val="20"/>
          <w:szCs w:val="20"/>
        </w:rPr>
        <w:t xml:space="preserve">(iii) Co-working arzı büyüyor, ama kârlılık seçici</w:t>
      </w:r>
    </w:p>
    <w:p>
      <w:pPr>
        <w:spacing w:after="140" w:line="264"/>
        <w:jc w:val="both"/>
      </w:pPr>
      <w:r>
        <w:rPr>
          <w:rFonts w:ascii="Georgia" w:cs="Georgia" w:eastAsia="Georgia" w:hAnsi="Georgia"/>
          <w:color w:val="1A1A1A"/>
          <w:sz w:val="20"/>
          <w:szCs w:val="20"/>
        </w:rPr>
        <w:t xml:space="preserve">Co-working, ABD ofis stokunun hâlâ yalnızca %2,34'ünü oluşturmasına rağmen lokasyon sayısını istikrarlı biçimde artırmaktadır; ancak yeni açılan mekânların ortalama büyüklüğü düşmektedir (ulusal ortalama 2026'nın ikinci çeyreğinde 17.728 sq ft'e gerilemiştir). Bu, küçük formatlı ve mahalle ölçekli operatörlere doğru bir kaymaya işaret eder. Sektör anketleri, operatörlerin yaklaşık yarısının kâr ettiğini, nüfusu bir milyonun üzerindeki şehirlerde bu oranın üçte ikiye çıktığını, küçük yerleşimlerde ise beşte bire kadar düştüğünü göstermektedir. Ölçek ve şehir yoğunluğu, bu segmentte kârlılığın birincil belirleyicisidir.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5  </w:t>
      </w:r>
      <w:r>
        <w:rPr>
          <w:rFonts w:ascii="Georgia" w:cs="Georgia" w:eastAsia="Georgia" w:hAnsi="Georgia"/>
          <w:b/>
          <w:bCs/>
          <w:color w:val="1F3864"/>
          <w:spacing w:val="14"/>
          <w:sz w:val="26"/>
          <w:szCs w:val="26"/>
        </w:rPr>
        <w:t xml:space="preserve">TALEP TARAFI: TÜKETICI, KUŞAKLAR VE ÜÇÜNCÜ MEKÂN AÇIĞI</w:t>
      </w:r>
    </w:p>
    <w:p>
      <w:pPr>
        <w:pStyle w:val="Heading2"/>
        <w:spacing w:after="110" w:before="260"/>
      </w:pPr>
      <w:r>
        <w:rPr>
          <w:rFonts w:ascii="Georgia" w:cs="Georgia" w:eastAsia="Georgia" w:hAnsi="Georgia"/>
          <w:b/>
          <w:bCs/>
          <w:color w:val="1F3864"/>
          <w:sz w:val="22"/>
          <w:szCs w:val="22"/>
        </w:rPr>
        <w:t xml:space="preserve">5.1  Üçüncü mekân açığı ve yalnızlığın ticarileşmesi</w:t>
      </w:r>
    </w:p>
    <w:p>
      <w:pPr>
        <w:spacing w:after="140" w:line="264"/>
        <w:jc w:val="both"/>
      </w:pPr>
      <w:r>
        <w:rPr>
          <w:rFonts w:ascii="Georgia" w:cs="Georgia" w:eastAsia="Georgia" w:hAnsi="Georgia"/>
          <w:color w:val="1A1A1A"/>
          <w:sz w:val="20"/>
          <w:szCs w:val="20"/>
        </w:rPr>
        <w:t xml:space="preserve">Üyelik talebindeki yapısal artışın arkasındaki en güçlü değişken ekonomik değil, sosyolojiktir. 2024 tarihli bir Harvard araştırması, yetişkinlerin %67'sinin anlamlı bir gruba ait olmamaktan kaynaklanan sosyal ve duygusal yalnızlık yaşadığını ortaya koymuştur. Dünya Sağlık Örgütü'nün Sosyal Bağlantı Komisyonu ise 13–17 yaş grubunun küresel ölçekte en yüksek yalnızlık oranına (yaklaşık %21) sahip olduğunu raporlamıştır. Uzaktan çalışmanın ofis sosyalliğinin, maliyetin gece hayatının, ekranın da yüz yüze temasın yerini alması; ev ile iş arasındaki boşluğu tarihsel olarak alışılmadık bir genişliğe getirmiştir.</w:t>
      </w:r>
    </w:p>
    <w:p>
      <w:pPr>
        <w:spacing w:after="140" w:line="264"/>
        <w:jc w:val="both"/>
      </w:pPr>
      <w:r>
        <w:rPr>
          <w:rFonts w:ascii="Georgia" w:cs="Georgia" w:eastAsia="Georgia" w:hAnsi="Georgia"/>
          <w:color w:val="1A1A1A"/>
          <w:sz w:val="20"/>
          <w:szCs w:val="20"/>
        </w:rPr>
        <w:t xml:space="preserve">Bu boşluk hızla ticarileşmektedir. Koşu kulüpleri, ücretsiz ve düşük eşikli yapılarıyla ilk dalgayı oluşturmuş; Strava platformunda kulüp sayısının 2025'te bir milyona ulaştığı, koşu kulüplerinin 3,5 kat, yürüyüş kulüplerinin 5,8 kat büyüdüğü bildirilmiştir. İkinci dalga, alkolsüz ve telefonsuz sosyalleşme vaat eden sauna ve buz banyosu kulüpleri ile sosyal wellness kulüpleri olmuştur. Üçüncü dalga ise bu iki formatın ücretli ve mekânlı versiyonudur — Atmosphere tam olarak bu dalganın içinde konumlanmaktadır.</w:t>
      </w:r>
    </w:p>
    <w:p>
      <w:pPr>
        <w:pBdr>
          <w:left w:val="single" w:color="8C6D1F" w:sz="18" w:space="12"/>
        </w:pBdr>
        <w:spacing w:after="220" w:before="200"/>
        <w:ind w:left="340" w:right="340"/>
        <w:jc w:val="left"/>
      </w:pPr>
      <w:r>
        <w:rPr>
          <w:rFonts w:ascii="Georgia" w:cs="Georgia" w:eastAsia="Georgia" w:hAnsi="Georgia"/>
          <w:i/>
          <w:iCs/>
          <w:color w:val="1F3864"/>
          <w:sz w:val="20"/>
          <w:szCs w:val="20"/>
        </w:rPr>
        <w:t xml:space="preserve">Stratejik okuma: Talep, "spor yapacak yer" talebi değildir. Talep, "düzenli olarak aynı insanlarla karşılaşacağım, davranış kuralları belli, güvenli bir mekân" talebidir. Spor, çalışma alanı veya sauna bu talebin taşıyıcısıdır; ürünün kendisi değildir.</w:t>
      </w:r>
    </w:p>
    <w:p>
      <w:pPr>
        <w:pStyle w:val="Heading2"/>
        <w:spacing w:after="110" w:before="260"/>
      </w:pPr>
      <w:r>
        <w:rPr>
          <w:rFonts w:ascii="Georgia" w:cs="Georgia" w:eastAsia="Georgia" w:hAnsi="Georgia"/>
          <w:b/>
          <w:bCs/>
          <w:color w:val="1F3864"/>
          <w:sz w:val="22"/>
          <w:szCs w:val="22"/>
        </w:rPr>
        <w:t xml:space="preserve">5.2  Kuşak dinamikleri: Gen Z paradoksu</w:t>
      </w:r>
    </w:p>
    <w:p>
      <w:pPr>
        <w:spacing w:after="140" w:line="264"/>
        <w:jc w:val="both"/>
      </w:pPr>
      <w:r>
        <w:rPr>
          <w:rFonts w:ascii="Georgia" w:cs="Georgia" w:eastAsia="Georgia" w:hAnsi="Georgia"/>
          <w:color w:val="1A1A1A"/>
          <w:sz w:val="20"/>
          <w:szCs w:val="20"/>
        </w:rPr>
        <w:t xml:space="preserve">Gen Z, üyelik pazarının hem en büyük fırsatı hem en büyük operasyonel riskidir. 18–24 yaş grubu %35,5 ile ABD'nin en yüksek spor tesisi penetrasyonuna sahip kohortudur ve 2025'teki yeni üyeliklerin yaklaşık yarısını tek başına oluşturmuştur. Aynı zamanda %54,4 ile en yüksek churn oranına sahiptir; 65 yaş üstü kohortta bu oran %26,5'tir. Genç kohort ucuz kazanılır, pahalı kaybedilir.</w:t>
      </w:r>
    </w:p>
    <w:p>
      <w:pPr>
        <w:spacing w:after="140" w:line="264"/>
        <w:jc w:val="both"/>
      </w:pPr>
      <w:r>
        <w:rPr>
          <w:rFonts w:ascii="Georgia" w:cs="Georgia" w:eastAsia="Georgia" w:hAnsi="Georgia"/>
          <w:color w:val="1A1A1A"/>
          <w:sz w:val="20"/>
          <w:szCs w:val="20"/>
        </w:rPr>
        <w:t xml:space="preserve">Bu davranışın altında iki eğilim yatar. Birincisi harcama önceliğindeki kaymadır: araştırmalar Gen Z'nin sağlık ve fitness harcamasını zorunlu gider kategorisine taşıdığını, gece hayatı ve alkol harcamasının yerini kısmen aldığını göstermektedir. İkincisi bütçe kırılganlığıdır: Gen Z katılımcıların %41'i abonelik harcamalarının karşılayabileceklerinin üzerinde olduğunu beyan etmekte ve bu kohortun %40'ı bir hizmeti iptal edip altı ay içinde yeniden abone olma ("churn and return") davranışı sergilemektedir. Genç üye üyeliği reddetmiyor; üyeliği duraklatıyor.</w:t>
      </w:r>
    </w:p>
    <w:p>
      <w:pPr>
        <w:spacing w:after="90" w:before="200"/>
      </w:pPr>
      <w:r>
        <w:rPr>
          <w:rFonts w:ascii="Georgia" w:cs="Georgia" w:eastAsia="Georgia" w:hAnsi="Georgia"/>
          <w:b/>
          <w:bCs/>
          <w:caps/>
          <w:color w:val="8C6D1F"/>
          <w:spacing w:val="10"/>
          <w:sz w:val="17"/>
          <w:szCs w:val="17"/>
        </w:rPr>
        <w:t xml:space="preserve">Tablo 4 — Kuşak bazında üyelik davranışı ve tasarım çıkarımları</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1700"/>
        <w:gridCol w:w="2400"/>
        <w:gridCol w:w="2280"/>
        <w:gridCol w:w="3700"/>
      </w:tblGrid>
      <w:tr>
        <w:trPr>
          <w:tblHeader/>
        </w:trPr>
        <w:tc>
          <w:tcPr>
            <w:tcW w:type="dxa" w:w="17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Kohort</w:t>
            </w:r>
          </w:p>
        </w:tc>
        <w:tc>
          <w:tcPr>
            <w:tcW w:type="dxa" w:w="24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Davranışsal imza</w:t>
            </w:r>
          </w:p>
        </w:tc>
        <w:tc>
          <w:tcPr>
            <w:tcW w:type="dxa" w:w="22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Riziko</w:t>
            </w:r>
          </w:p>
        </w:tc>
        <w:tc>
          <w:tcPr>
            <w:tcW w:type="dxa" w:w="37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Tasarım çıkarımı</w:t>
            </w:r>
          </w:p>
        </w:tc>
      </w:tr>
      <w:tr>
        <w:trPr>
          <w:tblHeader w:val="false"/>
        </w:trPr>
        <w:tc>
          <w:tcPr>
            <w:tcW w:type="dxa" w:w="17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Gen Z (18–24)</w:t>
            </w:r>
          </w:p>
        </w:tc>
        <w:tc>
          <w:tcPr>
            <w:tcW w:type="dxa" w:w="2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En yüksek penetrasyon (%35,5); yeni üyeliklerin yaklaşık yarısı; topluluk ve dijital beklentisi yüksek</w:t>
            </w:r>
          </w:p>
        </w:tc>
        <w:tc>
          <w:tcPr>
            <w:tcW w:type="dxa" w:w="2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Churn %54,4; bütçe hassasiyeti; duraklat-geri dön davranışı</w:t>
            </w:r>
          </w:p>
        </w:tc>
        <w:tc>
          <w:tcPr>
            <w:tcW w:type="dxa" w:w="37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Düşük giriş eşiği ve dondurma seçeneği; ritüel bazlı programlama; sosyal ağa erken bağlama; iptal yerine "ara verme".</w:t>
            </w:r>
          </w:p>
        </w:tc>
      </w:tr>
      <w:tr>
        <w:trPr>
          <w:tblHeader w:val="false"/>
        </w:trPr>
        <w:tc>
          <w:tcPr>
            <w:tcW w:type="dxa" w:w="1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Y kuşağı (25–40)</w:t>
            </w:r>
          </w:p>
        </w:tc>
        <w:tc>
          <w:tcPr>
            <w:tcW w:type="dxa" w:w="2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En yüksek toplam abonelik harcaması; portföy mantığıyla çoklu üyelik</w:t>
            </w:r>
          </w:p>
        </w:tc>
        <w:tc>
          <w:tcPr>
            <w:tcW w:type="dxa" w:w="2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Harcamayı sistematik olarak eksik tahmin etme; konsolidasyon eğilimi</w:t>
            </w:r>
          </w:p>
        </w:tc>
        <w:tc>
          <w:tcPr>
            <w:tcW w:type="dxa" w:w="3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Paket ve tek fatura mantığı; aidat dışı hizmetlerde derinleşme; aile ve eş üyeliği.</w:t>
            </w:r>
          </w:p>
        </w:tc>
      </w:tr>
      <w:tr>
        <w:trPr>
          <w:tblHeader w:val="false"/>
        </w:trPr>
        <w:tc>
          <w:tcPr>
            <w:tcW w:type="dxa" w:w="17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X kuşağı ve üzeri (41+)</w:t>
            </w:r>
          </w:p>
        </w:tc>
        <w:tc>
          <w:tcPr>
            <w:tcW w:type="dxa" w:w="2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Daha düşük penetrasyon, ama en uzun üyelik ömrü</w:t>
            </w:r>
          </w:p>
        </w:tc>
        <w:tc>
          <w:tcPr>
            <w:tcW w:type="dxa" w:w="2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Programlamanın yalnızca genç kohorta göre kurgulanması hâlinde dışlanma hissi</w:t>
            </w:r>
          </w:p>
        </w:tc>
        <w:tc>
          <w:tcPr>
            <w:tcW w:type="dxa" w:w="37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Sabah bantlarının farklılaştırılması; sağlık ve longevity odaklı hizmetler; referans kaynağı olarak kullanma.</w:t>
            </w:r>
          </w:p>
        </w:tc>
      </w:tr>
      <w:tr>
        <w:trPr>
          <w:tblHeader w:val="false"/>
        </w:trPr>
        <w:tc>
          <w:tcPr>
            <w:tcW w:type="dxa" w:w="1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65+</w:t>
            </w:r>
          </w:p>
        </w:tc>
        <w:tc>
          <w:tcPr>
            <w:tcW w:type="dxa" w:w="2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ABD spor kulübü pazarının en hızlı büyüyen kohortu (+%8,6 y/y); churn yalnızca %26,5</w:t>
            </w:r>
          </w:p>
        </w:tc>
        <w:tc>
          <w:tcPr>
            <w:tcW w:type="dxa" w:w="2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Kapasite planlamasında ihmal edilme</w:t>
            </w:r>
          </w:p>
        </w:tc>
        <w:tc>
          <w:tcPr>
            <w:tcW w:type="dxa" w:w="3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Gündüz kapasitesinin ekonomik olarak en verimli kullanıcısı; marj açısından en değerli segment.</w:t>
            </w:r>
          </w:p>
        </w:tc>
      </w:tr>
    </w:tbl>
    <w:p>
      <w:pPr>
        <w:spacing w:after="200" w:before="70"/>
      </w:pPr>
      <w:r>
        <w:rPr>
          <w:rFonts w:ascii="Georgia" w:cs="Georgia" w:eastAsia="Georgia" w:hAnsi="Georgia"/>
          <w:i/>
          <w:iCs/>
          <w:color w:val="595959"/>
          <w:sz w:val="15"/>
          <w:szCs w:val="15"/>
        </w:rPr>
        <w:t xml:space="preserve">Kaynak: Health &amp; Fitness Association 2026 Consumer Report; ABC Fitness Wellness Watch; Deloitte Digital Media Trends; sektör anketleri.</w:t>
      </w:r>
    </w:p>
    <w:p>
      <w:pPr>
        <w:pStyle w:val="Heading2"/>
        <w:spacing w:after="110" w:before="260"/>
      </w:pPr>
      <w:r>
        <w:rPr>
          <w:rFonts w:ascii="Georgia" w:cs="Georgia" w:eastAsia="Georgia" w:hAnsi="Georgia"/>
          <w:b/>
          <w:bCs/>
          <w:color w:val="1F3864"/>
          <w:sz w:val="22"/>
          <w:szCs w:val="22"/>
        </w:rPr>
        <w:t xml:space="preserve">5.3  Abonelik yorgunluğu ve "tutulacak üyelik" testi</w:t>
      </w:r>
    </w:p>
    <w:p>
      <w:pPr>
        <w:spacing w:after="140" w:line="264"/>
        <w:jc w:val="both"/>
      </w:pPr>
      <w:r>
        <w:rPr>
          <w:rFonts w:ascii="Georgia" w:cs="Georgia" w:eastAsia="Georgia" w:hAnsi="Georgia"/>
          <w:color w:val="1A1A1A"/>
          <w:sz w:val="20"/>
          <w:szCs w:val="20"/>
        </w:rPr>
        <w:t xml:space="preserve">Tüketici, üyelik sayısını azaltırken toplam harcamasını artırmaktadır. Farklı metodolojiler ABD'de kişi başı aylık toplam abonelik harcamasını 90 ila 273 dolar arasında ölçmektedir; ortak bulgu, tüketicilerin gerçek harcamalarını sistematik olarak yaklaşık iki buçuk kat eksik tahmin ettiğidir. Bu, önümüzdeki dönemde bir "temizlik" dalgasının kaçınılmaz olduğu anlamına gelir.</w:t>
      </w:r>
    </w:p>
    <w:p>
      <w:pPr>
        <w:spacing w:after="140" w:line="264"/>
        <w:jc w:val="both"/>
      </w:pPr>
      <w:r>
        <w:rPr>
          <w:rFonts w:ascii="Georgia" w:cs="Georgia" w:eastAsia="Georgia" w:hAnsi="Georgia"/>
          <w:color w:val="1A1A1A"/>
          <w:sz w:val="20"/>
          <w:szCs w:val="20"/>
        </w:rPr>
        <w:t xml:space="preserve">Bu ortamda hayatta kalacak üyeliklerin ortak özelliği, kesilmeleri hâlinde tüketicinin yalnızca bir hizmeti değil bir alışkanlığı, bir ritmi ve bir sosyal çevreyi kaybedecek olmasıdır. Fitness bu testi geçen ender kategorilerden biridir: bütçe kısıntısında Amerikalıların yalnızca %23'ü ilk keseceği kalem olarak fitness'ı işaret ederken %44'ü dışarıda yemeyi, %36'sı seyahati, %29'u eğlenceyi işaret etmektedir. Bir üçüncü mekân kulübünün stratejik hedefi, bu %23'lük dilimin de altına inmektir.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6  </w:t>
      </w:r>
      <w:r>
        <w:rPr>
          <w:rFonts w:ascii="Georgia" w:cs="Georgia" w:eastAsia="Georgia" w:hAnsi="Georgia"/>
          <w:b/>
          <w:bCs/>
          <w:color w:val="1F3864"/>
          <w:spacing w:val="14"/>
          <w:sz w:val="26"/>
          <w:szCs w:val="26"/>
        </w:rPr>
        <w:t xml:space="preserve">ARZ TARAFI: REKABET ORTAMI VE FIYAT MIMARISI</w:t>
      </w:r>
    </w:p>
    <w:p>
      <w:pPr>
        <w:spacing w:after="140" w:line="264"/>
        <w:jc w:val="both"/>
      </w:pPr>
      <w:r>
        <w:rPr>
          <w:rFonts w:ascii="Georgia" w:cs="Georgia" w:eastAsia="Georgia" w:hAnsi="Georgia"/>
          <w:color w:val="1A1A1A"/>
          <w:sz w:val="20"/>
          <w:szCs w:val="20"/>
        </w:rPr>
        <w:t xml:space="preserve">Fiyat, bu pazarda bir maliyet karşılığı değil bir konumlandırma beyanıdır. Aşağıdaki tablo, ABD pazarındaki üyelik fiyatlarının tam yelpazesini tek bir ölçekte göstermektedir. Yelpazenin genişliği — yılda 65 dolardan 200.000 dolar giriş aidatına — aynı kelimenin ("üyelik") tamamen farklı ürünleri tanımladığını ortaya koymaktadır.</w:t>
      </w:r>
    </w:p>
    <w:p>
      <w:pPr>
        <w:spacing w:after="90" w:before="200"/>
      </w:pPr>
      <w:r>
        <w:rPr>
          <w:rFonts w:ascii="Georgia" w:cs="Georgia" w:eastAsia="Georgia" w:hAnsi="Georgia"/>
          <w:b/>
          <w:bCs/>
          <w:caps/>
          <w:color w:val="8C6D1F"/>
          <w:spacing w:val="10"/>
          <w:sz w:val="17"/>
          <w:szCs w:val="17"/>
        </w:rPr>
        <w:t xml:space="preserve">Tablo 5 — ABD üyelik fiyat mimarisi kıyaslaması</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2300"/>
        <w:gridCol w:w="1950"/>
        <w:gridCol w:w="2100"/>
        <w:gridCol w:w="3730"/>
      </w:tblGrid>
      <w:tr>
        <w:trPr>
          <w:tblHeader/>
        </w:trPr>
        <w:tc>
          <w:tcPr>
            <w:tcW w:type="dxa" w:w="23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Format / örnek</w:t>
            </w:r>
          </w:p>
        </w:tc>
        <w:tc>
          <w:tcPr>
            <w:tcW w:type="dxa" w:w="195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Giriş aidatı</w:t>
            </w:r>
          </w:p>
        </w:tc>
        <w:tc>
          <w:tcPr>
            <w:tcW w:type="dxa" w:w="21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Dönemsel aidat</w:t>
            </w:r>
          </w:p>
        </w:tc>
        <w:tc>
          <w:tcPr>
            <w:tcW w:type="dxa" w:w="373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Not</w:t>
            </w:r>
          </w:p>
        </w:tc>
      </w:tr>
      <w:tr>
        <w:trPr>
          <w:tblHeader w:val="false"/>
        </w:trPr>
        <w:tc>
          <w:tcPr>
            <w:tcW w:type="dxa" w:w="23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Costco (Gold Star / Executive)</w:t>
            </w:r>
          </w:p>
        </w:tc>
        <w:tc>
          <w:tcPr>
            <w:tcW w:type="dxa" w:w="19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w:t>
            </w:r>
          </w:p>
        </w:tc>
        <w:tc>
          <w:tcPr>
            <w:tcW w:type="dxa" w:w="21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65 / 130 USD yıl</w:t>
            </w:r>
          </w:p>
        </w:tc>
        <w:tc>
          <w:tcPr>
            <w:tcW w:type="dxa" w:w="37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2024 Eylül'ünde zam yapılmasına rağmen ABD–Kanada yenileme oranı %92,3 seviyesinde korunmuştur.</w:t>
            </w:r>
          </w:p>
        </w:tc>
      </w:tr>
      <w:tr>
        <w:trPr>
          <w:tblHeader w:val="false"/>
        </w:trPr>
        <w:tc>
          <w:tcPr>
            <w:tcW w:type="dxa" w:w="23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Amazon Prime</w:t>
            </w:r>
          </w:p>
        </w:tc>
        <w:tc>
          <w:tcPr>
            <w:tcW w:type="dxa" w:w="19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w:t>
            </w:r>
          </w:p>
        </w:tc>
        <w:tc>
          <w:tcPr>
            <w:tcW w:type="dxa" w:w="21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139 USD yıl</w:t>
            </w:r>
          </w:p>
        </w:tc>
        <w:tc>
          <w:tcPr>
            <w:tcW w:type="dxa" w:w="373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ABD yetişkinlerinin yaklaşık %64'ü üye (Mayıs 2026). Kategorinin fiyat çıpası.</w:t>
            </w:r>
          </w:p>
        </w:tc>
      </w:tr>
      <w:tr>
        <w:trPr>
          <w:tblHeader w:val="false"/>
        </w:trPr>
        <w:tc>
          <w:tcPr>
            <w:tcW w:type="dxa" w:w="23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Planet Fitness</w:t>
            </w:r>
          </w:p>
        </w:tc>
        <w:tc>
          <w:tcPr>
            <w:tcW w:type="dxa" w:w="19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Düşük / kampanyalı</w:t>
            </w:r>
          </w:p>
        </w:tc>
        <w:tc>
          <w:tcPr>
            <w:tcW w:type="dxa" w:w="21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~15 USD ay</w:t>
            </w:r>
          </w:p>
        </w:tc>
        <w:tc>
          <w:tcPr>
            <w:tcW w:type="dxa" w:w="37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2024 yazında temel aidat %50 artırılmış, ciro büyümesi korunmuştur; Gen Z en hızlı büyüyen segmentidir.</w:t>
            </w:r>
          </w:p>
        </w:tc>
      </w:tr>
      <w:tr>
        <w:trPr>
          <w:tblHeader w:val="false"/>
        </w:trPr>
        <w:tc>
          <w:tcPr>
            <w:tcW w:type="dxa" w:w="23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Life Time</w:t>
            </w:r>
          </w:p>
        </w:tc>
        <w:tc>
          <w:tcPr>
            <w:tcW w:type="dxa" w:w="19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w:t>
            </w:r>
          </w:p>
        </w:tc>
        <w:tc>
          <w:tcPr>
            <w:tcW w:type="dxa" w:w="21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 başına çeyreklik gelir 993 USD (aidat + kulüp içi)</w:t>
            </w:r>
          </w:p>
        </w:tc>
        <w:tc>
          <w:tcPr>
            <w:tcW w:type="dxa" w:w="373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Bu rakam saf aidat değildir; modelin özü budur — gelirin önemli kısmı kulüp içi hizmetlerden gelir.</w:t>
            </w:r>
          </w:p>
        </w:tc>
      </w:tr>
      <w:tr>
        <w:trPr>
          <w:tblHeader w:val="false"/>
        </w:trPr>
        <w:tc>
          <w:tcPr>
            <w:tcW w:type="dxa" w:w="23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Co-working (ABD medyanı)</w:t>
            </w:r>
          </w:p>
        </w:tc>
        <w:tc>
          <w:tcPr>
            <w:tcW w:type="dxa" w:w="19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w:t>
            </w:r>
          </w:p>
        </w:tc>
        <w:tc>
          <w:tcPr>
            <w:tcW w:type="dxa" w:w="21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225 USD ay; gün geçişi 30 USD</w:t>
            </w:r>
          </w:p>
        </w:tc>
        <w:tc>
          <w:tcPr>
            <w:tcW w:type="dxa" w:w="37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Toplantı odası saatlik ~45 USD; sanal ofis ~159 USD/ay (3Ç25 medyanları).</w:t>
            </w:r>
          </w:p>
        </w:tc>
      </w:tr>
      <w:tr>
        <w:trPr>
          <w:tblHeader w:val="false"/>
        </w:trPr>
        <w:tc>
          <w:tcPr>
            <w:tcW w:type="dxa" w:w="23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Sosyal wellness kulüpleri</w:t>
            </w:r>
          </w:p>
        </w:tc>
        <w:tc>
          <w:tcPr>
            <w:tcW w:type="dxa" w:w="19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0 – 500 USD (kayıt)</w:t>
            </w:r>
          </w:p>
        </w:tc>
        <w:tc>
          <w:tcPr>
            <w:tcW w:type="dxa" w:w="21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~51 – 375 USD ay</w:t>
            </w:r>
          </w:p>
        </w:tc>
        <w:tc>
          <w:tcPr>
            <w:tcW w:type="dxa" w:w="373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Othership, Remedy Place, Heimat, The Well gibi formatlar. Kurumsal sermayenin yeni girdiği bant.</w:t>
            </w:r>
          </w:p>
        </w:tc>
      </w:tr>
      <w:tr>
        <w:trPr>
          <w:tblHeader w:val="false"/>
        </w:trPr>
        <w:tc>
          <w:tcPr>
            <w:tcW w:type="dxa" w:w="23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Zero Bond (New York)</w:t>
            </w:r>
          </w:p>
        </w:tc>
        <w:tc>
          <w:tcPr>
            <w:tcW w:type="dxa" w:w="19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750 / 1.000 / 5.000 USD (yaşa göre)</w:t>
            </w:r>
          </w:p>
        </w:tc>
        <w:tc>
          <w:tcPr>
            <w:tcW w:type="dxa" w:w="21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2.750 / 3.850 / 4.400 USD yıl</w:t>
            </w:r>
          </w:p>
        </w:tc>
        <w:tc>
          <w:tcPr>
            <w:tcW w:type="dxa" w:w="37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Yaşa göre kademeli fiyatlama; fiyatını kamuya açıklayan ender kulüplerden biri.</w:t>
            </w:r>
          </w:p>
        </w:tc>
      </w:tr>
      <w:tr>
        <w:trPr>
          <w:tblHeader w:val="false"/>
        </w:trPr>
        <w:tc>
          <w:tcPr>
            <w:tcW w:type="dxa" w:w="23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Casa Cipriani (New York)</w:t>
            </w:r>
          </w:p>
        </w:tc>
        <w:tc>
          <w:tcPr>
            <w:tcW w:type="dxa" w:w="19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~2.000 USD</w:t>
            </w:r>
          </w:p>
        </w:tc>
        <w:tc>
          <w:tcPr>
            <w:tcW w:type="dxa" w:w="21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~3.900 USD yıl</w:t>
            </w:r>
          </w:p>
        </w:tc>
        <w:tc>
          <w:tcPr>
            <w:tcW w:type="dxa" w:w="373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30 yaş altı için indirimli kademe; fiyat kamuya açıklanmamakta, basın beyanlarına dayanmaktadır.</w:t>
            </w:r>
          </w:p>
        </w:tc>
      </w:tr>
      <w:tr>
        <w:trPr>
          <w:tblHeader w:val="false"/>
        </w:trPr>
        <w:tc>
          <w:tcPr>
            <w:tcW w:type="dxa" w:w="23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Core Club (New York)</w:t>
            </w:r>
          </w:p>
        </w:tc>
        <w:tc>
          <w:tcPr>
            <w:tcW w:type="dxa" w:w="19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İlk yıl toplam 30.000 USD+</w:t>
            </w:r>
          </w:p>
        </w:tc>
        <w:tc>
          <w:tcPr>
            <w:tcW w:type="dxa" w:w="21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w:t>
            </w:r>
          </w:p>
        </w:tc>
        <w:tc>
          <w:tcPr>
            <w:tcW w:type="dxa" w:w="37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 adaylığı mevcut üye önerisine bağlıdır.</w:t>
            </w:r>
          </w:p>
        </w:tc>
      </w:tr>
      <w:tr>
        <w:trPr>
          <w:tblHeader w:val="false"/>
        </w:trPr>
        <w:tc>
          <w:tcPr>
            <w:tcW w:type="dxa" w:w="23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Aman Club (New York)</w:t>
            </w:r>
          </w:p>
        </w:tc>
        <w:tc>
          <w:tcPr>
            <w:tcW w:type="dxa" w:w="19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~200.000 USD</w:t>
            </w:r>
          </w:p>
        </w:tc>
        <w:tc>
          <w:tcPr>
            <w:tcW w:type="dxa" w:w="21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~15.000 USD yıl</w:t>
            </w:r>
          </w:p>
        </w:tc>
        <w:tc>
          <w:tcPr>
            <w:tcW w:type="dxa" w:w="373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Yelpazenin üst ucu; ürün, dışlayıcılığın kendisidir.</w:t>
            </w:r>
          </w:p>
        </w:tc>
      </w:tr>
      <w:tr>
        <w:trPr>
          <w:tblHeader w:val="false"/>
        </w:trPr>
        <w:tc>
          <w:tcPr>
            <w:tcW w:type="dxa" w:w="23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Casa Cruz (New York)</w:t>
            </w:r>
          </w:p>
        </w:tc>
        <w:tc>
          <w:tcPr>
            <w:tcW w:type="dxa" w:w="19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~250.000 – 500.000 USD</w:t>
            </w:r>
          </w:p>
        </w:tc>
        <w:tc>
          <w:tcPr>
            <w:tcW w:type="dxa" w:w="21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w:t>
            </w:r>
          </w:p>
        </w:tc>
        <w:tc>
          <w:tcPr>
            <w:tcW w:type="dxa" w:w="373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Uluslararası ultra-varlıklı segment.</w:t>
            </w:r>
          </w:p>
        </w:tc>
      </w:tr>
    </w:tbl>
    <w:p>
      <w:pPr>
        <w:spacing w:after="200" w:before="70"/>
      </w:pPr>
      <w:r>
        <w:rPr>
          <w:rFonts w:ascii="Georgia" w:cs="Georgia" w:eastAsia="Georgia" w:hAnsi="Georgia"/>
          <w:i/>
          <w:iCs/>
          <w:color w:val="595959"/>
          <w:sz w:val="15"/>
          <w:szCs w:val="15"/>
        </w:rPr>
        <w:t xml:space="preserve">Kaynak: Şirket açıklamaları ve mali raporlar; CoworkingCafe (3Ç25 medyanları); basına yansıyan üyelik fiyatı beyanları (2025–2026). Kamuya açıklanmayan fiyatlar tahmini niteliktedir ve işletmelerin takdirine bağlı olarak değişebilir.</w:t>
      </w:r>
    </w:p>
    <w:p>
      <w:pPr>
        <w:pStyle w:val="Heading2"/>
        <w:spacing w:after="110" w:before="260"/>
      </w:pPr>
      <w:r>
        <w:rPr>
          <w:rFonts w:ascii="Georgia" w:cs="Georgia" w:eastAsia="Georgia" w:hAnsi="Georgia"/>
          <w:b/>
          <w:bCs/>
          <w:color w:val="1F3864"/>
          <w:sz w:val="22"/>
          <w:szCs w:val="22"/>
        </w:rPr>
        <w:t xml:space="preserve">6.1  Ortanın sıkışması ve talebin gerçek derinliği</w:t>
      </w:r>
    </w:p>
    <w:p>
      <w:pPr>
        <w:spacing w:after="140" w:line="264"/>
        <w:jc w:val="both"/>
      </w:pPr>
      <w:r>
        <w:rPr>
          <w:rFonts w:ascii="Georgia" w:cs="Georgia" w:eastAsia="Georgia" w:hAnsi="Georgia"/>
          <w:color w:val="1A1A1A"/>
          <w:sz w:val="20"/>
          <w:szCs w:val="20"/>
        </w:rPr>
        <w:t xml:space="preserve">New York pazarındaki sektör içi değerlendirmeler, üst uçtaki kulüplerin (üyelerinin fiyat duyarlılığı olmayan segment) ve alt uçtaki erişilebilir formatların sağlıklı olduğunu, baskının orta segmentte yoğunlaştığını göstermektedir. Nedeni basittir: orta segment kulüp, üst uçla ayrıcalık ekseninde, alt uçla fiyat ekseninde yarışamaz. Aynı pazardaki bir başka gözlem daha uyarıcıdır — sektör içinden dile getirilen "hepimiz aynı 4.500 kişi için yarışıyoruz" ifadesi, talebin derinliğinin göründüğünden dar olduğunu ortaya koymaktadır. Üyeler çoğunlukla birden fazla kulüp üyeliği taşımaktadır; iki, üç, hatta beş-yedi üyelik taşıyan kişilere rastlanmaktadır.</w:t>
      </w:r>
    </w:p>
    <w:p>
      <w:pPr>
        <w:spacing w:after="140" w:line="264"/>
        <w:jc w:val="both"/>
      </w:pPr>
      <w:r>
        <w:rPr>
          <w:rFonts w:ascii="Georgia" w:cs="Georgia" w:eastAsia="Georgia" w:hAnsi="Georgia"/>
          <w:color w:val="1A1A1A"/>
          <w:sz w:val="20"/>
          <w:szCs w:val="20"/>
        </w:rPr>
        <w:t xml:space="preserve">Bunun operasyonel sonucu kritiktir: üye sayısı yanıltıcı bir metriktir. Bir kişi aynı anda üç kulübün üye listesinde yer alabilir, ama haftanın yalnızca bir akşamını birinde geçirir. Doğru metrik, üyenin ev ve iş dışında geçirdiği saatlerin kaçta kaçının bu mekânda geçtiğini ölçen "hafta payı"dır (share of week).</w:t>
      </w:r>
    </w:p>
    <w:p>
      <w:pPr>
        <w:pStyle w:val="Heading2"/>
        <w:spacing w:after="110" w:before="260"/>
      </w:pPr>
      <w:r>
        <w:rPr>
          <w:rFonts w:ascii="Georgia" w:cs="Georgia" w:eastAsia="Georgia" w:hAnsi="Georgia"/>
          <w:b/>
          <w:bCs/>
          <w:color w:val="1F3864"/>
          <w:sz w:val="22"/>
          <w:szCs w:val="22"/>
        </w:rPr>
        <w:t xml:space="preserve">6.2  Bölünen fitness pazarı: K-şeklinde tüketici</w:t>
      </w:r>
    </w:p>
    <w:p>
      <w:pPr>
        <w:spacing w:after="140" w:line="264"/>
        <w:jc w:val="both"/>
      </w:pPr>
      <w:r>
        <w:rPr>
          <w:rFonts w:ascii="Georgia" w:cs="Georgia" w:eastAsia="Georgia" w:hAnsi="Georgia"/>
          <w:color w:val="1A1A1A"/>
          <w:sz w:val="20"/>
          <w:szCs w:val="20"/>
        </w:rPr>
        <w:t xml:space="preserve">2026'nın ilk yarısındaki şirket sonuçları, ABD tüketicisinin gelir düzeyine göre ayrıştığını açıkça göstermiştir. Premium segmentte Life Time, üye başına dueları artırmasına rağmen talep kaybı yaşamamış; 2026'nın ikinci çeyreğinde geliri %13,7 artışla 866 milyon dolara, üye başına ortalama çeyreklik geliri %11,8 artışla 993 dolara yükselmiştir. Şirket üye sayısını yalnızca %1,2 büyütürken net kârını %40,6 artırmıştır. Kitlesel segmentte ise Planet Fitness güçlü büyüme raporlamasına rağmen 2026 görünümünde daha temkinli bir tablo çizmiş, düşük ve orta gelirli tüketicide talep yavaşlaması endişesi doğurmuştur.</w:t>
      </w:r>
    </w:p>
    <w:p>
      <w:pPr>
        <w:pBdr>
          <w:left w:val="single" w:color="8C6D1F" w:sz="18" w:space="12"/>
        </w:pBdr>
        <w:spacing w:after="220" w:before="200"/>
        <w:ind w:left="340" w:right="340"/>
        <w:jc w:val="left"/>
      </w:pPr>
      <w:r>
        <w:rPr>
          <w:rFonts w:ascii="Georgia" w:cs="Georgia" w:eastAsia="Georgia" w:hAnsi="Georgia"/>
          <w:i/>
          <w:iCs/>
          <w:color w:val="1F3864"/>
          <w:sz w:val="20"/>
          <w:szCs w:val="20"/>
        </w:rPr>
        <w:t xml:space="preserve">Çıkarım: Premium konumlanma bugün, kitlesel konumlanmadan daha savunulabilir durumdadır. Fiyat esnekliği aşağıda değil yukarıdadır — ancak bu, üyenin ödediğinin karşılığını hizmet derinliğiyle almasına bağlıdır.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7  </w:t>
      </w:r>
      <w:r>
        <w:rPr>
          <w:rFonts w:ascii="Georgia" w:cs="Georgia" w:eastAsia="Georgia" w:hAnsi="Georgia"/>
          <w:b/>
          <w:bCs/>
          <w:color w:val="1F3864"/>
          <w:spacing w:val="14"/>
          <w:sz w:val="26"/>
          <w:szCs w:val="26"/>
        </w:rPr>
        <w:t xml:space="preserve">ÜYELIK İŞ MODELININ EKONOMISI</w:t>
      </w:r>
    </w:p>
    <w:p>
      <w:pPr>
        <w:pStyle w:val="Heading2"/>
        <w:spacing w:after="110" w:before="260"/>
      </w:pPr>
      <w:r>
        <w:rPr>
          <w:rFonts w:ascii="Georgia" w:cs="Georgia" w:eastAsia="Georgia" w:hAnsi="Georgia"/>
          <w:b/>
          <w:bCs/>
          <w:color w:val="1F3864"/>
          <w:sz w:val="22"/>
          <w:szCs w:val="22"/>
        </w:rPr>
        <w:t xml:space="preserve">7.1  Aidat neden bir annüitedir</w:t>
      </w:r>
    </w:p>
    <w:p>
      <w:pPr>
        <w:spacing w:after="140" w:line="264"/>
        <w:jc w:val="both"/>
      </w:pPr>
      <w:r>
        <w:rPr>
          <w:rFonts w:ascii="Georgia" w:cs="Georgia" w:eastAsia="Georgia" w:hAnsi="Georgia"/>
          <w:color w:val="1A1A1A"/>
          <w:sz w:val="20"/>
          <w:szCs w:val="20"/>
        </w:rPr>
        <w:t xml:space="preserve">Üyelik gelirinin ayırt edici özelliği, marjinal maliyetinin sıfıra yakın olması ve nakit akışının hizmet sunumundan önce gerçekleşmesidir. Costco bu mekanizmanın en saf örneğidir: 2025 mali yılında 269,9 milyar dolarlık net satışa karşılık 5,32 milyar dolarlık üyelik aidatı geliri elde edilmiştir. Aidat cironun yalnızca yaklaşık %1,9'udur; ancak aynı yılın 10,38 milyar dolarlık faaliyet kârının yaklaşık yarısına denk gelir. Perakende marjı, fiilen aidat tarafından finanse edilmektedir.</w:t>
      </w:r>
    </w:p>
    <w:p>
      <w:pPr>
        <w:spacing w:after="90" w:before="200"/>
      </w:pPr>
      <w:r>
        <w:rPr>
          <w:rFonts w:ascii="Georgia" w:cs="Georgia" w:eastAsia="Georgia" w:hAnsi="Georgia"/>
          <w:b/>
          <w:bCs/>
          <w:caps/>
          <w:color w:val="8C6D1F"/>
          <w:spacing w:val="10"/>
          <w:sz w:val="17"/>
          <w:szCs w:val="17"/>
        </w:rPr>
        <w:t xml:space="preserve">Tablo 6 — Üyelik gelirinin kaldıraç etkisi: Costco örneği</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4200"/>
        <w:gridCol w:w="2900"/>
        <w:gridCol w:w="2980"/>
      </w:tblGrid>
      <w:tr>
        <w:trPr>
          <w:tblHeader/>
        </w:trPr>
        <w:tc>
          <w:tcPr>
            <w:tcW w:type="dxa" w:w="42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Kalem</w:t>
            </w:r>
          </w:p>
        </w:tc>
        <w:tc>
          <w:tcPr>
            <w:tcW w:type="dxa" w:w="29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Değer</w:t>
            </w:r>
          </w:p>
        </w:tc>
        <w:tc>
          <w:tcPr>
            <w:tcW w:type="dxa" w:w="29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Yorum</w:t>
            </w:r>
          </w:p>
        </w:tc>
      </w:tr>
      <w:tr>
        <w:trPr>
          <w:tblHeader w:val="false"/>
        </w:trPr>
        <w:tc>
          <w:tcPr>
            <w:tcW w:type="dxa" w:w="42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Net satışlar (FY2025)</w:t>
            </w:r>
          </w:p>
        </w:tc>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269,9 mlr USD</w:t>
            </w:r>
          </w:p>
        </w:tc>
        <w:tc>
          <w:tcPr>
            <w:tcW w:type="dxa" w:w="29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+%8,1 y/y</w:t>
            </w:r>
          </w:p>
        </w:tc>
      </w:tr>
      <w:tr>
        <w:trPr>
          <w:tblHeader w:val="false"/>
        </w:trPr>
        <w:tc>
          <w:tcPr>
            <w:tcW w:type="dxa" w:w="4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Üyelik aidatı geliri (FY2025)</w:t>
            </w:r>
          </w:p>
        </w:tc>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5,32 mlr USD</w:t>
            </w:r>
          </w:p>
        </w:tc>
        <w:tc>
          <w:tcPr>
            <w:tcW w:type="dxa" w:w="29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+~%10 y/y; cironun ~%1,9'u</w:t>
            </w:r>
          </w:p>
        </w:tc>
      </w:tr>
      <w:tr>
        <w:trPr>
          <w:tblHeader w:val="false"/>
        </w:trPr>
        <w:tc>
          <w:tcPr>
            <w:tcW w:type="dxa" w:w="42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Faaliyet kârı (FY2025)</w:t>
            </w:r>
          </w:p>
        </w:tc>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10,38 mlr USD</w:t>
            </w:r>
          </w:p>
        </w:tc>
        <w:tc>
          <w:tcPr>
            <w:tcW w:type="dxa" w:w="29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Aidat, faaliyet kârının ~%51'ine denk gelmektedir</w:t>
            </w:r>
          </w:p>
        </w:tc>
      </w:tr>
      <w:tr>
        <w:trPr>
          <w:tblHeader w:val="false"/>
        </w:trPr>
        <w:tc>
          <w:tcPr>
            <w:tcW w:type="dxa" w:w="4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Ödeyen hane sayısı (3Ç FY26)</w:t>
            </w:r>
          </w:p>
        </w:tc>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82,9 mn</w:t>
            </w:r>
          </w:p>
        </w:tc>
        <w:tc>
          <w:tcPr>
            <w:tcW w:type="dxa" w:w="29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+%4,1 y/y</w:t>
            </w:r>
          </w:p>
        </w:tc>
      </w:tr>
      <w:tr>
        <w:trPr>
          <w:tblHeader w:val="false"/>
        </w:trPr>
        <w:tc>
          <w:tcPr>
            <w:tcW w:type="dxa" w:w="42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Executive (üst kademe) üye</w:t>
            </w:r>
          </w:p>
        </w:tc>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41,2 mn</w:t>
            </w:r>
          </w:p>
        </w:tc>
        <w:tc>
          <w:tcPr>
            <w:tcW w:type="dxa" w:w="29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Toplam ödeyen üyeliğin yaklaşık yarısı; küresel satışların ~%73–74'ü</w:t>
            </w:r>
          </w:p>
        </w:tc>
      </w:tr>
      <w:tr>
        <w:trPr>
          <w:tblHeader w:val="false"/>
        </w:trPr>
        <w:tc>
          <w:tcPr>
            <w:tcW w:type="dxa" w:w="4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Yenileme oranı (ABD/Kanada)</w:t>
            </w:r>
          </w:p>
        </w:tc>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%92,3</w:t>
            </w:r>
          </w:p>
        </w:tc>
        <w:tc>
          <w:tcPr>
            <w:tcW w:type="dxa" w:w="29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Aidat zammına rağmen korunmuştur</w:t>
            </w:r>
          </w:p>
        </w:tc>
      </w:tr>
      <w:tr>
        <w:trPr>
          <w:tblHeader w:val="false"/>
        </w:trPr>
        <w:tc>
          <w:tcPr>
            <w:tcW w:type="dxa" w:w="42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Executive üye yıllık harcaması</w:t>
            </w:r>
          </w:p>
        </w:tc>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4.629 USD / 36 ziyaret</w:t>
            </w:r>
          </w:p>
        </w:tc>
        <w:tc>
          <w:tcPr>
            <w:tcW w:type="dxa" w:w="29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Standart üye: 2.252 USD / 21 ziyaret</w:t>
            </w:r>
          </w:p>
        </w:tc>
      </w:tr>
      <w:tr>
        <w:trPr>
          <w:tblHeader w:val="false"/>
        </w:trPr>
        <w:tc>
          <w:tcPr>
            <w:tcW w:type="dxa" w:w="4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Aidatın harcamaya oranı</w:t>
            </w:r>
          </w:p>
        </w:tc>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~%2,8 (Executive) / ~%2,9 (standart)</w:t>
            </w:r>
          </w:p>
        </w:tc>
        <w:tc>
          <w:tcPr>
            <w:tcW w:type="dxa" w:w="29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Geri ödeme: ilk bir-iki ziyarette tamamlanır</w:t>
            </w:r>
          </w:p>
        </w:tc>
      </w:tr>
    </w:tbl>
    <w:p>
      <w:pPr>
        <w:spacing w:after="200" w:before="70"/>
      </w:pPr>
      <w:r>
        <w:rPr>
          <w:rFonts w:ascii="Georgia" w:cs="Georgia" w:eastAsia="Georgia" w:hAnsi="Georgia"/>
          <w:i/>
          <w:iCs/>
          <w:color w:val="595959"/>
          <w:sz w:val="15"/>
          <w:szCs w:val="15"/>
        </w:rPr>
        <w:t xml:space="preserve">Kaynak: Costco Wholesale mali raporları (FY2025, 3Ç FY2026); Numerator perakende sadakat analizi (2026).</w:t>
      </w:r>
    </w:p>
    <w:p>
      <w:pPr>
        <w:pStyle w:val="Heading2"/>
        <w:spacing w:after="110" w:before="260"/>
      </w:pPr>
      <w:r>
        <w:rPr>
          <w:rFonts w:ascii="Georgia" w:cs="Georgia" w:eastAsia="Georgia" w:hAnsi="Georgia"/>
          <w:b/>
          <w:bCs/>
          <w:color w:val="1F3864"/>
          <w:sz w:val="22"/>
          <w:szCs w:val="22"/>
        </w:rPr>
        <w:t xml:space="preserve">7.2  Yenileme oranının gerçek mekanizması</w:t>
      </w:r>
    </w:p>
    <w:p>
      <w:pPr>
        <w:spacing w:after="140" w:line="264"/>
        <w:jc w:val="both"/>
      </w:pPr>
      <w:r>
        <w:rPr>
          <w:rFonts w:ascii="Georgia" w:cs="Georgia" w:eastAsia="Georgia" w:hAnsi="Georgia"/>
          <w:color w:val="1A1A1A"/>
          <w:sz w:val="20"/>
          <w:szCs w:val="20"/>
        </w:rPr>
        <w:t xml:space="preserve">Costco'nun %92 seviyesindeki yenileme oranı sıklıkla marka sadakatine atfedilir. Daha doğru açıklama aritmetiktir: üst kademe üye yılda 130 dolar aidat öder ve 4.629 dolar harcar; aidat, harcamasının %2,8'idir ve elde ettiği tasarrufla ilk birkaç ziyarette geri kazanılır. Üye yenileme kararını duygusal değil, hesaplanmış bir gerekçeyle verir. Aidatın psikolojik etkisi — Aronson ve Mills'in "çaba gerekçelendirmesi" mekanizması — ilk kayıt anında devreye girer; ancak on ikinci ayda yenileme kararını belirleyen, geçen on iki ayda üyenin kaç kez fayda hissettiğidir.</w:t>
      </w:r>
    </w:p>
    <w:p>
      <w:pPr>
        <w:spacing w:after="140" w:line="264"/>
        <w:jc w:val="both"/>
      </w:pPr>
      <w:r>
        <w:rPr>
          <w:rFonts w:ascii="Georgia" w:cs="Georgia" w:eastAsia="Georgia" w:hAnsi="Georgia"/>
          <w:color w:val="1A1A1A"/>
          <w:sz w:val="20"/>
          <w:szCs w:val="20"/>
        </w:rPr>
        <w:t xml:space="preserve">Bu ayrımın Atmosphere için pratik karşılığı şudur: aidat, üyeyi kapıdan içeri sokan ve ilk bağlılığı üreten araçtır — bu yönüyle Atmosphere'in tezi doğrudur. Ancak aidatın ikinci yıla taşınması tamamen kullanım sıklığının fonksiyonudur. Bir üyenin ayda dört kez geldiği bir kulüpte aidat sorgulanmaz; ayda bir kez geldiği bir kulüpte hiçbir felsefe metni yenilemeyi kurtarmaz.</w:t>
      </w:r>
    </w:p>
    <w:p>
      <w:pPr>
        <w:pStyle w:val="Heading2"/>
        <w:spacing w:after="110" w:before="260"/>
      </w:pPr>
      <w:r>
        <w:rPr>
          <w:rFonts w:ascii="Georgia" w:cs="Georgia" w:eastAsia="Georgia" w:hAnsi="Georgia"/>
          <w:b/>
          <w:bCs/>
          <w:color w:val="1F3864"/>
          <w:sz w:val="22"/>
          <w:szCs w:val="22"/>
        </w:rPr>
        <w:t xml:space="preserve">7.3  Üye başına gelir modeli: doğru büyüme vektörü</w:t>
      </w:r>
    </w:p>
    <w:p>
      <w:pPr>
        <w:spacing w:after="140" w:line="264"/>
        <w:jc w:val="both"/>
      </w:pPr>
      <w:r>
        <w:rPr>
          <w:rFonts w:ascii="Georgia" w:cs="Georgia" w:eastAsia="Georgia" w:hAnsi="Georgia"/>
          <w:color w:val="1A1A1A"/>
          <w:sz w:val="20"/>
          <w:szCs w:val="20"/>
        </w:rPr>
        <w:t xml:space="preserve">Life Time verisi, premium üçüncü mekân modelinde büyümenin nereden geldiğini net biçimde göstermektedir. 2026'nın ikinci çeyreğinde üye sayısı 860.041'e yalnızca %1,2 artmış; buna karşılık üye başına ortalama gelir %11,8 artarak 993 dolara çıkmış, toplam gelir %13,7 büyümüştür. Şirket yönetimi bu performansı üye karmasının iyileştirilmesine, dueların artırılmasına ve kulüp içi hizmetlerin (kişisel antrenman, spa, kafe) kullanımının derinleşmesine bağlamaktadır. Şirketin 2026 tam yıl gelir beklentisi 3,30–3,33 milyar dolar, düzeltilmiş FAVÖK beklentisi 910–925 milyon dolardır.</w:t>
      </w:r>
    </w:p>
    <w:p>
      <w:pPr>
        <w:pBdr>
          <w:left w:val="single" w:color="8C6D1F" w:sz="18" w:space="12"/>
        </w:pBdr>
        <w:spacing w:after="220" w:before="200"/>
        <w:ind w:left="340" w:right="340"/>
        <w:jc w:val="left"/>
      </w:pPr>
      <w:r>
        <w:rPr>
          <w:rFonts w:ascii="Georgia" w:cs="Georgia" w:eastAsia="Georgia" w:hAnsi="Georgia"/>
          <w:i/>
          <w:iCs/>
          <w:color w:val="1F3864"/>
          <w:sz w:val="20"/>
          <w:szCs w:val="20"/>
        </w:rPr>
        <w:t xml:space="preserve">Model kuralı: Üye sayısını %1 artırmak, üye başına geliri %10 artırmaktan daha kolay ama çok daha az değerlidir. Kapasitesi sınırlı bir üçüncü mekânda büyüme yatay değil, dikey olmalıdır.</w:t>
      </w:r>
    </w:p>
    <w:p>
      <w:pPr>
        <w:pStyle w:val="Heading2"/>
        <w:spacing w:after="110" w:before="260"/>
      </w:pPr>
      <w:r>
        <w:rPr>
          <w:rFonts w:ascii="Georgia" w:cs="Georgia" w:eastAsia="Georgia" w:hAnsi="Georgia"/>
          <w:b/>
          <w:bCs/>
          <w:color w:val="1F3864"/>
          <w:sz w:val="22"/>
          <w:szCs w:val="22"/>
        </w:rPr>
        <w:t xml:space="preserve">7.4  Örnekleyici birim ekonomi çerçevesi</w:t>
      </w:r>
    </w:p>
    <w:p>
      <w:pPr>
        <w:spacing w:after="140" w:line="264"/>
        <w:jc w:val="both"/>
      </w:pPr>
      <w:r>
        <w:rPr>
          <w:rFonts w:ascii="Georgia" w:cs="Georgia" w:eastAsia="Georgia" w:hAnsi="Georgia"/>
          <w:color w:val="1A1A1A"/>
          <w:sz w:val="20"/>
          <w:szCs w:val="20"/>
        </w:rPr>
        <w:t xml:space="preserve">Aşağıdaki çerçeve belirli bir işletmenin finansallarına değil, yukarıdaki kıyaslamalardan türetilen orantılara dayanmaktadır ve yalnızca yapıyı göstermek amacıyla sunulmaktadır. Rakamlar projeksiyon değildir.</w:t>
      </w:r>
    </w:p>
    <w:p>
      <w:pPr>
        <w:spacing w:after="90" w:before="200"/>
      </w:pPr>
      <w:r>
        <w:rPr>
          <w:rFonts w:ascii="Georgia" w:cs="Georgia" w:eastAsia="Georgia" w:hAnsi="Georgia"/>
          <w:b/>
          <w:bCs/>
          <w:caps/>
          <w:color w:val="8C6D1F"/>
          <w:spacing w:val="10"/>
          <w:sz w:val="17"/>
          <w:szCs w:val="17"/>
        </w:rPr>
        <w:t xml:space="preserve">Tablo 7 — Örnekleyici üye birim ekonomisi çerçevesi (aidat = 100 endeksli)</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3600"/>
        <w:gridCol w:w="2200"/>
        <w:gridCol w:w="4280"/>
      </w:tblGrid>
      <w:tr>
        <w:trPr>
          <w:tblHeader/>
        </w:trPr>
        <w:tc>
          <w:tcPr>
            <w:tcW w:type="dxa" w:w="36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Bileşen</w:t>
            </w:r>
          </w:p>
        </w:tc>
        <w:tc>
          <w:tcPr>
            <w:tcW w:type="dxa" w:w="22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Endeks</w:t>
            </w:r>
          </w:p>
        </w:tc>
        <w:tc>
          <w:tcPr>
            <w:tcW w:type="dxa" w:w="42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Kıyaslama gerekçesi</w:t>
            </w:r>
          </w:p>
        </w:tc>
      </w:tr>
      <w:tr>
        <w:trPr>
          <w:tblHeader w:val="false"/>
        </w:trPr>
        <w:tc>
          <w:tcPr>
            <w:tcW w:type="dxa" w:w="36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Yıllık aidat geliri</w:t>
            </w:r>
          </w:p>
        </w:tc>
        <w:tc>
          <w:tcPr>
            <w:tcW w:type="dxa" w:w="22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100</w:t>
            </w:r>
          </w:p>
        </w:tc>
        <w:tc>
          <w:tcPr>
            <w:tcW w:type="dxa" w:w="4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Baz</w:t>
            </w:r>
          </w:p>
        </w:tc>
      </w:tr>
      <w:tr>
        <w:trPr>
          <w:tblHeader w:val="false"/>
        </w:trPr>
        <w:tc>
          <w:tcPr>
            <w:tcW w:type="dxa" w:w="3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Aidat dışı gelir (F&amp;B, hizmet, etkinlik, misafir)</w:t>
            </w:r>
          </w:p>
        </w:tc>
        <w:tc>
          <w:tcPr>
            <w:tcW w:type="dxa" w:w="2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150 – 300</w:t>
            </w:r>
          </w:p>
        </w:tc>
        <w:tc>
          <w:tcPr>
            <w:tcW w:type="dxa" w:w="4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Life Time modelinde kulüp içi gelir, büyümenin ana kaynağıdır.</w:t>
            </w:r>
          </w:p>
        </w:tc>
      </w:tr>
      <w:tr>
        <w:trPr>
          <w:tblHeader w:val="false"/>
        </w:trPr>
        <w:tc>
          <w:tcPr>
            <w:tcW w:type="dxa" w:w="36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Toplam üye geliri</w:t>
            </w:r>
          </w:p>
        </w:tc>
        <w:tc>
          <w:tcPr>
            <w:tcW w:type="dxa" w:w="22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250 – 400</w:t>
            </w:r>
          </w:p>
        </w:tc>
        <w:tc>
          <w:tcPr>
            <w:tcW w:type="dxa" w:w="4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
            </w:r>
          </w:p>
        </w:tc>
      </w:tr>
      <w:tr>
        <w:trPr>
          <w:tblHeader w:val="false"/>
        </w:trPr>
        <w:tc>
          <w:tcPr>
            <w:tcW w:type="dxa" w:w="3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Değişken hizmet maliyeti</w:t>
            </w:r>
          </w:p>
        </w:tc>
        <w:tc>
          <w:tcPr>
            <w:tcW w:type="dxa" w:w="2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(90) – (150)</w:t>
            </w:r>
          </w:p>
        </w:tc>
        <w:tc>
          <w:tcPr>
            <w:tcW w:type="dxa" w:w="4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Yiyecek-içecek ve hizmet yoğunluğuna bağlıdır.</w:t>
            </w:r>
          </w:p>
        </w:tc>
      </w:tr>
      <w:tr>
        <w:trPr>
          <w:tblHeader w:val="false"/>
        </w:trPr>
        <w:tc>
          <w:tcPr>
            <w:tcW w:type="dxa" w:w="36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Üye başına katkı payı</w:t>
            </w:r>
          </w:p>
        </w:tc>
        <w:tc>
          <w:tcPr>
            <w:tcW w:type="dxa" w:w="22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160 – 250</w:t>
            </w:r>
          </w:p>
        </w:tc>
        <w:tc>
          <w:tcPr>
            <w:tcW w:type="dxa" w:w="4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Sabit tesis giderlerini karşılayan havuz.</w:t>
            </w:r>
          </w:p>
        </w:tc>
      </w:tr>
      <w:tr>
        <w:trPr>
          <w:tblHeader w:val="false"/>
        </w:trPr>
        <w:tc>
          <w:tcPr>
            <w:tcW w:type="dxa" w:w="3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Üye kazanım maliyeti (CAC)</w:t>
            </w:r>
          </w:p>
        </w:tc>
        <w:tc>
          <w:tcPr>
            <w:tcW w:type="dxa" w:w="2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 – 60</w:t>
            </w:r>
          </w:p>
        </w:tc>
        <w:tc>
          <w:tcPr>
            <w:tcW w:type="dxa" w:w="4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Referans payı yükseldikçe düşer; en güçlü kaldıraç budur.</w:t>
            </w:r>
          </w:p>
        </w:tc>
      </w:tr>
      <w:tr>
        <w:trPr>
          <w:tblHeader w:val="false"/>
        </w:trPr>
        <w:tc>
          <w:tcPr>
            <w:tcW w:type="dxa" w:w="36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Ortalama üyelik ömrü</w:t>
            </w:r>
          </w:p>
        </w:tc>
        <w:tc>
          <w:tcPr>
            <w:tcW w:type="dxa" w:w="22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 – 4,0 yıl</w:t>
            </w:r>
          </w:p>
        </w:tc>
        <w:tc>
          <w:tcPr>
            <w:tcW w:type="dxa" w:w="42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Yenileme %85 ise ~6,7 yıl; %55 ise ~2,2 yıl. Ömür, yenileme oranına aşırı duyarlıdır.</w:t>
            </w:r>
          </w:p>
        </w:tc>
      </w:tr>
      <w:tr>
        <w:trPr>
          <w:tblHeader w:val="false"/>
        </w:trPr>
        <w:tc>
          <w:tcPr>
            <w:tcW w:type="dxa" w:w="36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Yaşam boyu değer / CAC</w:t>
            </w:r>
          </w:p>
        </w:tc>
        <w:tc>
          <w:tcPr>
            <w:tcW w:type="dxa" w:w="22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6x – 15x</w:t>
            </w:r>
          </w:p>
        </w:tc>
        <w:tc>
          <w:tcPr>
            <w:tcW w:type="dxa" w:w="42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Sağlıklı üyelik modellerinde beklenen aralık.</w:t>
            </w:r>
          </w:p>
        </w:tc>
      </w:tr>
    </w:tbl>
    <w:p>
      <w:pPr>
        <w:spacing w:after="200" w:before="70"/>
      </w:pPr>
      <w:r>
        <w:rPr>
          <w:rFonts w:ascii="Georgia" w:cs="Georgia" w:eastAsia="Georgia" w:hAnsi="Georgia"/>
          <w:i/>
          <w:iCs/>
          <w:color w:val="595959"/>
          <w:sz w:val="15"/>
          <w:szCs w:val="15"/>
        </w:rPr>
        <w:t xml:space="preserve">Kaynak: Value Masters Academy analizi; sektör kıyaslamalarından türetilmiş örnekleyici çerçeve. Denetlenmiş finansallara dayanmamaktadır.</w:t>
      </w:r>
    </w:p>
    <w:p>
      <w:pPr>
        <w:spacing w:after="140" w:line="264"/>
        <w:jc w:val="both"/>
      </w:pPr>
      <w:r>
        <w:rPr>
          <w:rFonts w:ascii="Georgia" w:cs="Georgia" w:eastAsia="Georgia" w:hAnsi="Georgia"/>
          <w:color w:val="1A1A1A"/>
          <w:sz w:val="20"/>
          <w:szCs w:val="20"/>
        </w:rPr>
        <w:t xml:space="preserve">Çerçevenin gösterdiği en önemli hassasiyet, üyelik ömrünün yenileme oranına aşırı duyarlı olmasıdır. Yenileme oranı %85'ten %55'e düştüğünde ortalama üyelik ömrü yaklaşık üçte bire iner ve yaşam boyu değer aynı oranda erir. Gen Z ağırlıklı bir üye tabanında sektör ortalaması churn %54,4 olduğuna göre, bu kohortta yenileme yönetimi bir pazarlama işi değil, bir varoluş meselesidir.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8  </w:t>
      </w:r>
      <w:r>
        <w:rPr>
          <w:rFonts w:ascii="Georgia" w:cs="Georgia" w:eastAsia="Georgia" w:hAnsi="Georgia"/>
          <w:b/>
          <w:bCs/>
          <w:color w:val="1F3864"/>
          <w:spacing w:val="14"/>
          <w:sz w:val="26"/>
          <w:szCs w:val="26"/>
        </w:rPr>
        <w:t xml:space="preserve">SERMAYE PIYASALARI, YATIRIM VE M&amp;A AKTIVITESI</w:t>
      </w:r>
    </w:p>
    <w:p>
      <w:pPr>
        <w:spacing w:after="140" w:line="264"/>
        <w:jc w:val="both"/>
      </w:pPr>
      <w:r>
        <w:rPr>
          <w:rFonts w:ascii="Georgia" w:cs="Georgia" w:eastAsia="Georgia" w:hAnsi="Georgia"/>
          <w:color w:val="1A1A1A"/>
          <w:sz w:val="20"/>
          <w:szCs w:val="20"/>
        </w:rPr>
        <w:t xml:space="preserve">Sermayenin bu alana yönelimi, tezin dışarıdan doğrulanması niteliğindedir; ancak aynı sermaye hareketleri modelin sınırlarını da göstermektedir.</w:t>
      </w:r>
    </w:p>
    <w:p>
      <w:pPr>
        <w:spacing w:after="90" w:before="200"/>
      </w:pPr>
      <w:r>
        <w:rPr>
          <w:rFonts w:ascii="Georgia" w:cs="Georgia" w:eastAsia="Georgia" w:hAnsi="Georgia"/>
          <w:b/>
          <w:bCs/>
          <w:caps/>
          <w:color w:val="8C6D1F"/>
          <w:spacing w:val="10"/>
          <w:sz w:val="17"/>
          <w:szCs w:val="17"/>
        </w:rPr>
        <w:t xml:space="preserve">Tablo 8 — Seçilmiş işlemler ve sermaye hareketleri</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2500"/>
        <w:gridCol w:w="2400"/>
        <w:gridCol w:w="5180"/>
      </w:tblGrid>
      <w:tr>
        <w:trPr>
          <w:tblHeader/>
        </w:trPr>
        <w:tc>
          <w:tcPr>
            <w:tcW w:type="dxa" w:w="25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İşlem / oyuncu</w:t>
            </w:r>
          </w:p>
        </w:tc>
        <w:tc>
          <w:tcPr>
            <w:tcW w:type="dxa" w:w="24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Büyüklük</w:t>
            </w:r>
          </w:p>
        </w:tc>
        <w:tc>
          <w:tcPr>
            <w:tcW w:type="dxa" w:w="51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Okuma</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Soho House &amp; Co — halka kapanma (MCR Hotels liderliğindeki konsorsiyum)</w:t>
            </w:r>
          </w:p>
        </w:tc>
        <w:tc>
          <w:tcPr>
            <w:tcW w:type="dxa" w:w="2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2,7 mlr USD (borç dahil); hisse başına 9,00 USD</w:t>
            </w:r>
          </w:p>
        </w:tc>
        <w:tc>
          <w:tcPr>
            <w:tcW w:type="dxa" w:w="51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Etkilenmemiş fiyata göre yaklaşık %83 prim. 2021'de ~2,8 mlr USD değerlemeyle halka açılan şirket, dört yıl sonra özel sermayeye dönmüştür. Haziran 2025 itibarıyla 270 binin üzerinde üye ve 46 House. İşlem, MCR'ın taahhüdünü yarıya indirmesi ve Apollo ile Goldman Sachs'ın teminatsız tahvil imkânını 150 mn USD'den 220 mn USD'ye çıkarmasının ardından Ocak 2026'da tamamlanmıştır.</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Life Time Group Holdings</w:t>
            </w:r>
          </w:p>
        </w:tc>
        <w:tc>
          <w:tcPr>
            <w:tcW w:type="dxa" w:w="2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FY26 beklentisi: 3,30–3,33 mlr USD gelir; 910–925 mn USD düzeltilmiş FAVÖK</w:t>
            </w:r>
          </w:p>
        </w:tc>
        <w:tc>
          <w:tcPr>
            <w:tcW w:type="dxa" w:w="51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2026'da 14 yeni kulüp, 2027 için 12–14 kulüp planı. Yıllık 400 mn USD hedefli sale-leaseback ile sermaye yoğunluğunu yönetmektedir.</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VICI Properties → Canyon Ranch</w:t>
            </w:r>
          </w:p>
        </w:tc>
        <w:tc>
          <w:tcPr>
            <w:tcW w:type="dxa" w:w="2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150 mn USD</w:t>
            </w:r>
          </w:p>
        </w:tc>
        <w:tc>
          <w:tcPr>
            <w:tcW w:type="dxa" w:w="51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Kurumsal gayrimenkul sermayesinin şehir içi sosyal kulüp formatına girişi.</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RSG Group (Gold's Gym, McFit) → Heimat</w:t>
            </w:r>
          </w:p>
        </w:tc>
        <w:tc>
          <w:tcPr>
            <w:tcW w:type="dxa" w:w="2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Doğrudan yatırım</w:t>
            </w:r>
          </w:p>
        </w:tc>
        <w:tc>
          <w:tcPr>
            <w:tcW w:type="dxa" w:w="51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Kitlesel fitness devinin aylık ~350 USD bandındaki sosyal kulüp modeline stratejik yönelimi.</w:t>
            </w:r>
          </w:p>
        </w:tc>
      </w:tr>
      <w:tr>
        <w:trPr>
          <w:tblHeader w:val="false"/>
        </w:trPr>
        <w:tc>
          <w:tcPr>
            <w:tcW w:type="dxa" w:w="25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Othership</w:t>
            </w:r>
          </w:p>
        </w:tc>
        <w:tc>
          <w:tcPr>
            <w:tcW w:type="dxa" w:w="2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Toplam ~20,6 mn USD (tohum + A Serisi + ek tur)</w:t>
            </w:r>
          </w:p>
        </w:tc>
        <w:tc>
          <w:tcPr>
            <w:tcW w:type="dxa" w:w="51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Sauna ve buz banyosu temelli sosyal wellness formatının kurumsal sermayeyle ölçeklenmesi.</w:t>
            </w:r>
          </w:p>
        </w:tc>
      </w:tr>
      <w:tr>
        <w:trPr>
          <w:tblHeader w:val="false"/>
        </w:trPr>
        <w:tc>
          <w:tcPr>
            <w:tcW w:type="dxa" w:w="25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Remedy Place</w:t>
            </w:r>
          </w:p>
        </w:tc>
        <w:tc>
          <w:tcPr>
            <w:tcW w:type="dxa" w:w="2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5 mn USD (2022, ~60 mn USD değerleme)</w:t>
            </w:r>
          </w:p>
        </w:tc>
        <w:tc>
          <w:tcPr>
            <w:tcW w:type="dxa" w:w="51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Segmentin erken evre değerleme referansı.</w:t>
            </w:r>
          </w:p>
        </w:tc>
      </w:tr>
    </w:tbl>
    <w:p>
      <w:pPr>
        <w:spacing w:after="200" w:before="70"/>
      </w:pPr>
      <w:r>
        <w:rPr>
          <w:rFonts w:ascii="Georgia" w:cs="Georgia" w:eastAsia="Georgia" w:hAnsi="Georgia"/>
          <w:i/>
          <w:iCs/>
          <w:color w:val="595959"/>
          <w:sz w:val="15"/>
          <w:szCs w:val="15"/>
        </w:rPr>
        <w:t xml:space="preserve">Kaynak: Şirket duyuruları, SEC dosyalamaları ve basına yansıyan işlem haberleri (2025–2026).</w:t>
      </w:r>
    </w:p>
    <w:p>
      <w:pPr>
        <w:pStyle w:val="Heading2"/>
        <w:spacing w:after="110" w:before="260"/>
      </w:pPr>
      <w:r>
        <w:rPr>
          <w:rFonts w:ascii="Georgia" w:cs="Georgia" w:eastAsia="Georgia" w:hAnsi="Georgia"/>
          <w:b/>
          <w:bCs/>
          <w:color w:val="1F3864"/>
          <w:sz w:val="22"/>
          <w:szCs w:val="22"/>
        </w:rPr>
        <w:t xml:space="preserve">Soho House vakası: ölçek ile dışlayıcılık arasındaki gerilim</w:t>
      </w:r>
    </w:p>
    <w:p>
      <w:pPr>
        <w:spacing w:after="140" w:line="264"/>
        <w:jc w:val="both"/>
      </w:pPr>
      <w:r>
        <w:rPr>
          <w:rFonts w:ascii="Georgia" w:cs="Georgia" w:eastAsia="Georgia" w:hAnsi="Georgia"/>
          <w:color w:val="1A1A1A"/>
          <w:sz w:val="20"/>
          <w:szCs w:val="20"/>
        </w:rPr>
        <w:t xml:space="preserve">Soho House, üyelik ekonomisinin en öğretici vakasıdır. Şirket üye sayısını ve gelirini büyütmeyi başarmış, halka açık şirket olarak geçirdiği dört yılın büyük bölümünde ise kâr üretememiştir. 270 binin üzerinde üyeye ulaşmak finansal ölçek sağlarken, ürünün temel vaadini — seçilmişlik hissini — aşındırmıştır. Halka kapanma kararı, kısmen bu gerilimin kamuya açık piyasalarda yönetilemez hâle gelmesinin sonucudur.</w:t>
      </w:r>
    </w:p>
    <w:p>
      <w:pPr>
        <w:pBdr>
          <w:left w:val="single" w:color="8C6D1F" w:sz="18" w:space="12"/>
        </w:pBdr>
        <w:spacing w:after="220" w:before="200"/>
        <w:ind w:left="340" w:right="340"/>
        <w:jc w:val="left"/>
      </w:pPr>
      <w:r>
        <w:rPr>
          <w:rFonts w:ascii="Georgia" w:cs="Georgia" w:eastAsia="Georgia" w:hAnsi="Georgia"/>
          <w:i/>
          <w:iCs/>
          <w:color w:val="1F3864"/>
          <w:sz w:val="20"/>
          <w:szCs w:val="20"/>
        </w:rPr>
        <w:t xml:space="preserve">Atmosphere için ders: Bir üçüncü mekânda kapasite, bir kısıt değil bir üründür. Üye sayısını artırmak kısa vadede geliri, uzun vadede ise aidiyeti ya artırır ya da yok eder. Bu sınırın nerede olduğu önceden ve yazılı olarak belirlenmelidir.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9  </w:t>
      </w:r>
      <w:r>
        <w:rPr>
          <w:rFonts w:ascii="Georgia" w:cs="Georgia" w:eastAsia="Georgia" w:hAnsi="Georgia"/>
          <w:b/>
          <w:bCs/>
          <w:color w:val="1F3864"/>
          <w:spacing w:val="14"/>
          <w:sz w:val="26"/>
          <w:szCs w:val="26"/>
        </w:rPr>
        <w:t xml:space="preserve">KRITIK BAŞARI FAKTÖRLERI VE RISK HARITASI</w:t>
      </w:r>
    </w:p>
    <w:p>
      <w:pPr>
        <w:pStyle w:val="Heading2"/>
        <w:spacing w:after="110" w:before="260"/>
      </w:pPr>
      <w:r>
        <w:rPr>
          <w:rFonts w:ascii="Georgia" w:cs="Georgia" w:eastAsia="Georgia" w:hAnsi="Georgia"/>
          <w:b/>
          <w:bCs/>
          <w:color w:val="1F3864"/>
          <w:sz w:val="22"/>
          <w:szCs w:val="22"/>
        </w:rPr>
        <w:t xml:space="preserve">9.1  Kritik başarı faktörleri</w:t>
      </w:r>
    </w:p>
    <w:p>
      <w:pPr>
        <w:pStyle w:val="ListParagraph"/>
        <w:numPr>
          <w:ilvl w:val="0"/>
          <w:numId w:val="2"/>
        </w:numPr>
        <w:spacing w:after="90" w:line="264"/>
        <w:jc w:val="both"/>
      </w:pPr>
      <w:r>
        <w:rPr>
          <w:rFonts w:ascii="Georgia" w:cs="Georgia" w:eastAsia="Georgia" w:hAnsi="Georgia"/>
          <w:b/>
          <w:bCs/>
          <w:color w:val="1F3864"/>
          <w:sz w:val="20"/>
          <w:szCs w:val="20"/>
        </w:rPr>
        <w:t xml:space="preserve">Geri ödeme hızı. </w:t>
      </w:r>
      <w:r>
        <w:rPr>
          <w:rFonts w:ascii="Georgia" w:cs="Georgia" w:eastAsia="Georgia" w:hAnsi="Georgia"/>
          <w:sz w:val="20"/>
          <w:szCs w:val="20"/>
        </w:rPr>
        <w:t xml:space="preserve">Üyenin ilk 30–45 gün içinde aidatının karşılığını somut olarak hissetmesi. Costco modelinin özü budur ve fiziksel kulüplere doğrudan uyarlanabilir.</w:t>
      </w:r>
    </w:p>
    <w:p>
      <w:pPr>
        <w:pStyle w:val="ListParagraph"/>
        <w:numPr>
          <w:ilvl w:val="0"/>
          <w:numId w:val="2"/>
        </w:numPr>
        <w:spacing w:after="90" w:line="264"/>
        <w:jc w:val="both"/>
      </w:pPr>
      <w:r>
        <w:rPr>
          <w:rFonts w:ascii="Georgia" w:cs="Georgia" w:eastAsia="Georgia" w:hAnsi="Georgia"/>
          <w:b/>
          <w:bCs/>
          <w:color w:val="1F3864"/>
          <w:sz w:val="20"/>
          <w:szCs w:val="20"/>
        </w:rPr>
        <w:t xml:space="preserve">Ritüel yoğunluğu. </w:t>
      </w:r>
      <w:r>
        <w:rPr>
          <w:rFonts w:ascii="Georgia" w:cs="Georgia" w:eastAsia="Georgia" w:hAnsi="Georgia"/>
          <w:sz w:val="20"/>
          <w:szCs w:val="20"/>
        </w:rPr>
        <w:t xml:space="preserve">Haftanın belirli gün ve saatlerinde tekrar eden, aynı insanları bir araya getiren programlama. Aidiyet rastlantıyla değil, takvimle üretilir.</w:t>
      </w:r>
    </w:p>
    <w:p>
      <w:pPr>
        <w:pStyle w:val="ListParagraph"/>
        <w:numPr>
          <w:ilvl w:val="0"/>
          <w:numId w:val="2"/>
        </w:numPr>
        <w:spacing w:after="90" w:line="264"/>
        <w:jc w:val="both"/>
      </w:pPr>
      <w:r>
        <w:rPr>
          <w:rFonts w:ascii="Georgia" w:cs="Georgia" w:eastAsia="Georgia" w:hAnsi="Georgia"/>
          <w:b/>
          <w:bCs/>
          <w:color w:val="1F3864"/>
          <w:sz w:val="20"/>
          <w:szCs w:val="20"/>
        </w:rPr>
        <w:t xml:space="preserve">Aidat dışı gelir derinliği. </w:t>
      </w:r>
      <w:r>
        <w:rPr>
          <w:rFonts w:ascii="Georgia" w:cs="Georgia" w:eastAsia="Georgia" w:hAnsi="Georgia"/>
          <w:sz w:val="20"/>
          <w:szCs w:val="20"/>
        </w:rPr>
        <w:t xml:space="preserve">Toplam gelirin ağırlıklı bölümünün kulüp içi harcamadan gelmesi. Bu, aidatı düşük tutup erişimi geniş tutmayı ekonomik olarak mümkün kılan tek mekanizmadır.</w:t>
      </w:r>
    </w:p>
    <w:p>
      <w:pPr>
        <w:pStyle w:val="ListParagraph"/>
        <w:numPr>
          <w:ilvl w:val="0"/>
          <w:numId w:val="2"/>
        </w:numPr>
        <w:spacing w:after="90" w:line="264"/>
        <w:jc w:val="both"/>
      </w:pPr>
      <w:r>
        <w:rPr>
          <w:rFonts w:ascii="Georgia" w:cs="Georgia" w:eastAsia="Georgia" w:hAnsi="Georgia"/>
          <w:b/>
          <w:bCs/>
          <w:color w:val="1F3864"/>
          <w:sz w:val="20"/>
          <w:szCs w:val="20"/>
        </w:rPr>
        <w:t xml:space="preserve">Kapasite disiplini. </w:t>
      </w:r>
      <w:r>
        <w:rPr>
          <w:rFonts w:ascii="Georgia" w:cs="Georgia" w:eastAsia="Georgia" w:hAnsi="Georgia"/>
          <w:sz w:val="20"/>
          <w:szCs w:val="20"/>
        </w:rPr>
        <w:t xml:space="preserve">Zirve saat doluluğunun tanımlı bir bantta tutulması. Aşırı doluluk, ürünün kendisini bozar.</w:t>
      </w:r>
    </w:p>
    <w:p>
      <w:pPr>
        <w:pStyle w:val="ListParagraph"/>
        <w:numPr>
          <w:ilvl w:val="0"/>
          <w:numId w:val="2"/>
        </w:numPr>
        <w:spacing w:after="90" w:line="264"/>
        <w:jc w:val="both"/>
      </w:pPr>
      <w:r>
        <w:rPr>
          <w:rFonts w:ascii="Georgia" w:cs="Georgia" w:eastAsia="Georgia" w:hAnsi="Georgia"/>
          <w:b/>
          <w:bCs/>
          <w:color w:val="1F3864"/>
          <w:sz w:val="20"/>
          <w:szCs w:val="20"/>
        </w:rPr>
        <w:t xml:space="preserve">Referans motoru. </w:t>
      </w:r>
      <w:r>
        <w:rPr>
          <w:rFonts w:ascii="Georgia" w:cs="Georgia" w:eastAsia="Georgia" w:hAnsi="Georgia"/>
          <w:sz w:val="20"/>
          <w:szCs w:val="20"/>
        </w:rPr>
        <w:t xml:space="preserve">Yeni üyelerin ağırlıklı olarak mevcut üyelerden gelmesi; hem üye kazanım maliyetini düşürür hem topluluk homojenliğini korur.</w:t>
      </w:r>
    </w:p>
    <w:p>
      <w:pPr>
        <w:pStyle w:val="ListParagraph"/>
        <w:numPr>
          <w:ilvl w:val="0"/>
          <w:numId w:val="2"/>
        </w:numPr>
        <w:spacing w:after="90" w:line="264"/>
        <w:jc w:val="both"/>
      </w:pPr>
      <w:r>
        <w:rPr>
          <w:rFonts w:ascii="Georgia" w:cs="Georgia" w:eastAsia="Georgia" w:hAnsi="Georgia"/>
          <w:b/>
          <w:bCs/>
          <w:color w:val="1F3864"/>
          <w:sz w:val="20"/>
          <w:szCs w:val="20"/>
        </w:rPr>
        <w:t xml:space="preserve">Kademeli fiyat mimarisi. </w:t>
      </w:r>
      <w:r>
        <w:rPr>
          <w:rFonts w:ascii="Georgia" w:cs="Georgia" w:eastAsia="Georgia" w:hAnsi="Georgia"/>
          <w:sz w:val="20"/>
          <w:szCs w:val="20"/>
        </w:rPr>
        <w:t xml:space="preserve">Zero Bond'un yaşa göre kademelendirmesi gibi, genç kohorta erişilebilir bir giriş kapısı açan ama üst kademede değeri koruyan yapı.</w:t>
      </w:r>
    </w:p>
    <w:p>
      <w:pPr>
        <w:pStyle w:val="Heading2"/>
        <w:spacing w:after="110" w:before="260"/>
      </w:pPr>
      <w:r>
        <w:rPr>
          <w:rFonts w:ascii="Georgia" w:cs="Georgia" w:eastAsia="Georgia" w:hAnsi="Georgia"/>
          <w:b/>
          <w:bCs/>
          <w:color w:val="1F3864"/>
          <w:sz w:val="22"/>
          <w:szCs w:val="22"/>
        </w:rPr>
        <w:t xml:space="preserve">9.2  Risk haritası</w:t>
      </w:r>
    </w:p>
    <w:p>
      <w:pPr>
        <w:spacing w:after="90" w:before="200"/>
      </w:pPr>
      <w:r>
        <w:rPr>
          <w:rFonts w:ascii="Georgia" w:cs="Georgia" w:eastAsia="Georgia" w:hAnsi="Georgia"/>
          <w:b/>
          <w:bCs/>
          <w:caps/>
          <w:color w:val="8C6D1F"/>
          <w:spacing w:val="10"/>
          <w:sz w:val="17"/>
          <w:szCs w:val="17"/>
        </w:rPr>
        <w:t xml:space="preserve">Tablo 9 — Ana risk kalemleri ve azaltıcı önlemler</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2700"/>
        <w:gridCol w:w="1150"/>
        <w:gridCol w:w="1150"/>
        <w:gridCol w:w="5080"/>
      </w:tblGrid>
      <w:tr>
        <w:trPr>
          <w:tblHeader/>
        </w:trPr>
        <w:tc>
          <w:tcPr>
            <w:tcW w:type="dxa" w:w="27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Risk</w:t>
            </w:r>
          </w:p>
        </w:tc>
        <w:tc>
          <w:tcPr>
            <w:tcW w:type="dxa" w:w="115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Etki</w:t>
            </w:r>
          </w:p>
        </w:tc>
        <w:tc>
          <w:tcPr>
            <w:tcW w:type="dxa" w:w="115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Olasılık</w:t>
            </w:r>
          </w:p>
        </w:tc>
        <w:tc>
          <w:tcPr>
            <w:tcW w:type="dxa" w:w="50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Azaltıcı önlem</w:t>
            </w:r>
          </w:p>
        </w:tc>
      </w:tr>
      <w:tr>
        <w:trPr>
          <w:tblHeader w:val="false"/>
        </w:trPr>
        <w:tc>
          <w:tcPr>
            <w:tcW w:type="dxa" w:w="27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Orta segment sıkışması — ne yeterince erişilebilir ne yeterince ayrıcalıklı konum</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50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Tek bir eksende net konumlanma; "en iyi fiyat" değil "en iyi topluluk" iddiasının programlamayla kanıtlanması.</w:t>
            </w:r>
          </w:p>
        </w:tc>
      </w:tr>
      <w:tr>
        <w:trPr>
          <w:tblHeader w:val="false"/>
        </w:trPr>
        <w:tc>
          <w:tcPr>
            <w:tcW w:type="dxa" w:w="2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Genç kohort churn'ü (sektör ortalaması %54,4)</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50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Dondurma ve ara verme seçeneği; 90 gün aktivasyon programı; ilk ay içinde üyeyi en az üç kişiyle tanıştırma hedefi.</w:t>
            </w:r>
          </w:p>
        </w:tc>
      </w:tr>
      <w:tr>
        <w:trPr>
          <w:tblHeader w:val="false"/>
        </w:trPr>
        <w:tc>
          <w:tcPr>
            <w:tcW w:type="dxa" w:w="27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Kapasite–dışlayıcılık paradoksu (Soho House vakası)</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50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 tavanı ve bekleme listesi politikasının önceden yazılı olarak belirlenmesi; zirve saat doluluk bandı yönetimi.</w:t>
            </w:r>
          </w:p>
        </w:tc>
      </w:tr>
      <w:tr>
        <w:trPr>
          <w:tblHeader w:val="false"/>
        </w:trPr>
        <w:tc>
          <w:tcPr>
            <w:tcW w:type="dxa" w:w="2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Abonelik konsolidasyonu (kişi başı abonelik 4,4 → 3,4)</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50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Üyeliğin "kesilebilir eğlence" değil "kesilemez altyapı" olarak konumlandırılması; sosyal maliyetin görünür kılınması.</w:t>
            </w:r>
          </w:p>
        </w:tc>
      </w:tr>
      <w:tr>
        <w:trPr>
          <w:tblHeader w:val="false"/>
        </w:trPr>
        <w:tc>
          <w:tcPr>
            <w:tcW w:type="dxa" w:w="27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K-şeklinde makro ayrışma</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50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Premium tarafta hizmet derinliği, giriş tarafında esneklik; tek bir fiyat noktasına bağımlılıktan kaçınma.</w:t>
            </w:r>
          </w:p>
        </w:tc>
      </w:tr>
      <w:tr>
        <w:trPr>
          <w:tblHeader w:val="false"/>
        </w:trPr>
        <w:tc>
          <w:tcPr>
            <w:tcW w:type="dxa" w:w="2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Çoklu üyelik ve cüzdan payı erozyonu</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50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Üye sayısı yerine ziyaret sıklığı ve "hafta payı" üzerinden ölçüm ve teşvik.</w:t>
            </w:r>
          </w:p>
        </w:tc>
      </w:tr>
      <w:tr>
        <w:trPr>
          <w:tblHeader w:val="false"/>
        </w:trPr>
        <w:tc>
          <w:tcPr>
            <w:tcW w:type="dxa" w:w="27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Aidatın algıda "gelir kapısına" dönüşmesi</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50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Fiyat artışlarının daima somut bir hizmet genişlemesiyle eşleştirilmesi; artışın gerekçesinin üyeye önceden anlatılması.</w:t>
            </w:r>
          </w:p>
        </w:tc>
      </w:tr>
      <w:tr>
        <w:trPr>
          <w:tblHeader w:val="false"/>
        </w:trPr>
        <w:tc>
          <w:tcPr>
            <w:tcW w:type="dxa" w:w="27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Sabit maliyet yoğunluğu ve gayrimenkul yükü</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Yüksek</w:t>
            </w:r>
          </w:p>
        </w:tc>
        <w:tc>
          <w:tcPr>
            <w:tcW w:type="dxa" w:w="115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50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Sale-leaseback ve kademeli açılış disiplini (Life Time modeli); doluluk eşiğinin altında genişlememe.</w:t>
            </w:r>
          </w:p>
        </w:tc>
      </w:tr>
      <w:tr>
        <w:trPr>
          <w:tblHeader w:val="false"/>
        </w:trPr>
        <w:tc>
          <w:tcPr>
            <w:tcW w:type="dxa" w:w="27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Otomatik yenileme ve iptal süreçlerine ilişkin düzenleyici baskı</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Düşük–Orta</w:t>
            </w:r>
          </w:p>
        </w:tc>
        <w:tc>
          <w:tcPr>
            <w:tcW w:type="dxa" w:w="115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Orta</w:t>
            </w:r>
          </w:p>
        </w:tc>
        <w:tc>
          <w:tcPr>
            <w:tcW w:type="dxa" w:w="50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İptal sürecinin en baştan şeffaf ve sürtünmesiz tasarlanması; güvenin fiyattan daha değerli olduğunun kabulü.</w:t>
            </w:r>
          </w:p>
        </w:tc>
      </w:tr>
    </w:tbl>
    <w:p>
      <w:pPr>
        <w:spacing w:after="200" w:before="70"/>
      </w:pPr>
      <w:r>
        <w:rPr>
          <w:rFonts w:ascii="Georgia" w:cs="Georgia" w:eastAsia="Georgia" w:hAnsi="Georgia"/>
          <w:i/>
          <w:iCs/>
          <w:color w:val="595959"/>
          <w:sz w:val="15"/>
          <w:szCs w:val="15"/>
        </w:rPr>
        <w:t xml:space="preserve">Kaynak: Value Masters Academy analizi.</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10  </w:t>
      </w:r>
      <w:r>
        <w:rPr>
          <w:rFonts w:ascii="Georgia" w:cs="Georgia" w:eastAsia="Georgia" w:hAnsi="Georgia"/>
          <w:b/>
          <w:bCs/>
          <w:color w:val="1F3864"/>
          <w:spacing w:val="14"/>
          <w:sz w:val="26"/>
          <w:szCs w:val="26"/>
        </w:rPr>
        <w:t xml:space="preserve">ATMOSPHERE İÇIN ÇIKARIMLAR VE STRATEJIK ÖNERILER</w:t>
      </w:r>
    </w:p>
    <w:p>
      <w:pPr>
        <w:pStyle w:val="Heading2"/>
        <w:spacing w:after="110" w:before="260"/>
      </w:pPr>
      <w:r>
        <w:rPr>
          <w:rFonts w:ascii="Georgia" w:cs="Georgia" w:eastAsia="Georgia" w:hAnsi="Georgia"/>
          <w:b/>
          <w:bCs/>
          <w:color w:val="1F3864"/>
          <w:sz w:val="22"/>
          <w:szCs w:val="22"/>
        </w:rPr>
        <w:t xml:space="preserve">10.1  Felsefe metnine ilişkin değerlendirme</w:t>
      </w:r>
    </w:p>
    <w:p>
      <w:pPr>
        <w:spacing w:after="140" w:line="264"/>
        <w:jc w:val="both"/>
      </w:pPr>
      <w:r>
        <w:rPr>
          <w:rFonts w:ascii="Georgia" w:cs="Georgia" w:eastAsia="Georgia" w:hAnsi="Georgia"/>
          <w:color w:val="1A1A1A"/>
          <w:sz w:val="20"/>
          <w:szCs w:val="20"/>
        </w:rPr>
        <w:t xml:space="preserve">Atmosphere'in üyelik felsefesi ticari olarak sağlam bir sezgi üzerine kuruludur ve akademik dayanakları uygun biçimde seçilmiştir. Yine de bir danışman sıfatıyla iki nitelendirme kaydedilmelidir.</w:t>
      </w:r>
    </w:p>
    <w:p>
      <w:pPr>
        <w:spacing w:after="140" w:line="264"/>
        <w:jc w:val="both"/>
      </w:pPr>
      <w:r>
        <w:rPr>
          <w:rFonts w:ascii="Georgia" w:cs="Georgia" w:eastAsia="Georgia" w:hAnsi="Georgia"/>
          <w:color w:val="1A1A1A"/>
          <w:sz w:val="20"/>
          <w:szCs w:val="20"/>
        </w:rPr>
        <w:t xml:space="preserve">Birincisi, kanıt gücü. Aronson ve Mills'in 1959 tarihli çaba gerekçelendirmesi çalışması sosyal psikolojinin klasiklerinden biridir; ancak sonraki yıllarda "sert kabul töreni" etkisinin büyüklüğü ve genellenebilirliği tartışılmıştır. Etki esas olarak kişinin gruba yönelik tutumu üzerinde ölçülmüştür; uzun vadeli üyelik sürdürme davranışı üzerinde doğrudan ve tekrarlanmış bir kanıt zinciri kurmak daha zordur. Metnin argümanı bununla zayıflamaz — ancak "ödeme yapan daha bağlıdır" ifadesi, "ödeme yapan başlangıçta daha bağlıdır; bağlılığın sürmesi kullanıma bağlıdır" biçiminde revize edilirse hem daha doğru hem de operasyonel olarak daha kullanışlı olur.</w:t>
      </w:r>
    </w:p>
    <w:p>
      <w:pPr>
        <w:spacing w:after="140" w:line="264"/>
        <w:jc w:val="both"/>
      </w:pPr>
      <w:r>
        <w:rPr>
          <w:rFonts w:ascii="Georgia" w:cs="Georgia" w:eastAsia="Georgia" w:hAnsi="Georgia"/>
          <w:color w:val="1A1A1A"/>
          <w:sz w:val="20"/>
          <w:szCs w:val="20"/>
        </w:rPr>
        <w:t xml:space="preserve">İkincisi, dışlama maliyeti. Ücret bir seçme mekanizmasıdır ve seçme, tanım gereği dışlamadır. Metin ücreti yalnızca olumlu yönüyle (bağlılık işareti) ele almaktadır; oysa aynı ücret, topluluğun demografik çeşitliliğini daraltır. Üçüncü mekân kuramının kurucusu Oldenburg'un tanımındaki "eşitlikçilik" niteliği ile ücretli üyeliğin seçiciliği arasında gerçek bir gerilim vardır. Bu gerilimin çözümü ücreti kaldırmak değil, kademelendirmek ve ücretsiz temas noktaları (açık etkinlikler, misafir hakları, gün geçişleri) tasarlamaktır.</w:t>
      </w:r>
    </w:p>
    <w:p>
      <w:pPr>
        <w:pStyle w:val="Heading2"/>
        <w:spacing w:after="110" w:before="260"/>
      </w:pPr>
      <w:r>
        <w:rPr>
          <w:rFonts w:ascii="Georgia" w:cs="Georgia" w:eastAsia="Georgia" w:hAnsi="Georgia"/>
          <w:b/>
          <w:bCs/>
          <w:color w:val="1F3864"/>
          <w:sz w:val="22"/>
          <w:szCs w:val="22"/>
        </w:rPr>
        <w:t xml:space="preserve">10.2  Yedi öneri</w:t>
      </w:r>
    </w:p>
    <w:p>
      <w:pPr>
        <w:pStyle w:val="ListParagraph"/>
        <w:numPr>
          <w:ilvl w:val="0"/>
          <w:numId w:val="3"/>
        </w:numPr>
        <w:spacing w:after="110" w:line="264"/>
        <w:jc w:val="both"/>
      </w:pPr>
      <w:r>
        <w:rPr>
          <w:rFonts w:ascii="Georgia" w:cs="Georgia" w:eastAsia="Georgia" w:hAnsi="Georgia"/>
          <w:sz w:val="20"/>
          <w:szCs w:val="20"/>
        </w:rPr>
        <w:t xml:space="preserve">Aidatı bir gelir hedefi değil, bir kapasite yönetim aracı olarak fiyatlandırın. Fiyat, kaç kişinin ve kimlerin geleceğini belirler. Hedef, zirve saatlerde tanımlı bir doluluk bandını (öneri: %70–85) sürdürecek fiyat noktasıdır. Bu bandın altındaki bir kulüp cansız, üstündeki bir kulüp yabancılaştırıcıdır.</w:t>
      </w:r>
    </w:p>
    <w:p>
      <w:pPr>
        <w:pStyle w:val="ListParagraph"/>
        <w:numPr>
          <w:ilvl w:val="0"/>
          <w:numId w:val="3"/>
        </w:numPr>
        <w:spacing w:after="110" w:line="264"/>
        <w:jc w:val="both"/>
      </w:pPr>
      <w:r>
        <w:rPr>
          <w:rFonts w:ascii="Georgia" w:cs="Georgia" w:eastAsia="Georgia" w:hAnsi="Georgia"/>
          <w:sz w:val="20"/>
          <w:szCs w:val="20"/>
        </w:rPr>
        <w:t xml:space="preserve">Üç kademeli bir mimari kurun. Zero Bond'un yaşa göre kademelendirmesi kanıtlanmış bir çözümdür: genç kohort için düşük giriş eşiği (aidiyeti erken kurar, yaşam boyu değeri uzatır), çekirdek kademe (ana gelir) ve sınırlı sayıda üst kademe (statü ve marj). Üst kademe, kulübün en kârlı ama en küçük dilimi olmalıdır.</w:t>
      </w:r>
    </w:p>
    <w:p>
      <w:pPr>
        <w:pStyle w:val="ListParagraph"/>
        <w:numPr>
          <w:ilvl w:val="0"/>
          <w:numId w:val="3"/>
        </w:numPr>
        <w:spacing w:after="110" w:line="264"/>
        <w:jc w:val="both"/>
      </w:pPr>
      <w:r>
        <w:rPr>
          <w:rFonts w:ascii="Georgia" w:cs="Georgia" w:eastAsia="Georgia" w:hAnsi="Georgia"/>
          <w:sz w:val="20"/>
          <w:szCs w:val="20"/>
        </w:rPr>
        <w:t xml:space="preserve">Geliri aidattan bağımsızlaştırın. Toplam gelirin ağırlıklı bölümünün kulüp içi harcamadan gelmesini hedefleyin. Life Time'ın büyümesi üye sayısından değil, üye başına gelirden gelmektedir (+%11,8'e karşı +%1,2). Bu yapı, aidatı düşük ve erişilebilir tutmayı ekonomik olarak mümkün kılan tek mekanizmadır — ve Atmosphere'in "üyelik gelir elde etmek için değildir" iddiasını gerçekten finanse edilebilir hâle getirir.</w:t>
      </w:r>
    </w:p>
    <w:p>
      <w:pPr>
        <w:pStyle w:val="ListParagraph"/>
        <w:numPr>
          <w:ilvl w:val="0"/>
          <w:numId w:val="3"/>
        </w:numPr>
        <w:spacing w:after="110" w:line="264"/>
        <w:jc w:val="both"/>
      </w:pPr>
      <w:r>
        <w:rPr>
          <w:rFonts w:ascii="Georgia" w:cs="Georgia" w:eastAsia="Georgia" w:hAnsi="Georgia"/>
          <w:sz w:val="20"/>
          <w:szCs w:val="20"/>
        </w:rPr>
        <w:t xml:space="preserve">Bir 90 gün aktivasyon protokolü tasarlayın. Yeni üyenin ilk 90 gün içinde en az altı ziyaret yapması ve en az üç mevcut üyeyle tanışmış olması operasyonel bir hedef olarak tanımlanmalı ve ölçülmelidir. Genç kohortta churn'ün %54 seviyesinde olduğu bir sektörde, ilk üç ay yenileme kararının fiilen verildiği dönemdir.</w:t>
      </w:r>
    </w:p>
    <w:p>
      <w:pPr>
        <w:pStyle w:val="ListParagraph"/>
        <w:numPr>
          <w:ilvl w:val="0"/>
          <w:numId w:val="3"/>
        </w:numPr>
        <w:spacing w:after="110" w:line="264"/>
        <w:jc w:val="both"/>
      </w:pPr>
      <w:r>
        <w:rPr>
          <w:rFonts w:ascii="Georgia" w:cs="Georgia" w:eastAsia="Georgia" w:hAnsi="Georgia"/>
          <w:sz w:val="20"/>
          <w:szCs w:val="20"/>
        </w:rPr>
        <w:t xml:space="preserve">İptal yerine duraklatma sunun. Gen Z'nin %40'ı iptal edip altı ay içinde geri dönmektedir. Ücretsiz veya sembolik bedelli bir dondurma seçeneği, bu davranışı kayıp yerine geçici duraklamaya çevirir ve yeniden kazanım maliyetini ortadan kaldırır.</w:t>
      </w:r>
    </w:p>
    <w:p>
      <w:pPr>
        <w:pStyle w:val="ListParagraph"/>
        <w:numPr>
          <w:ilvl w:val="0"/>
          <w:numId w:val="3"/>
        </w:numPr>
        <w:spacing w:after="110" w:line="264"/>
        <w:jc w:val="both"/>
      </w:pPr>
      <w:r>
        <w:rPr>
          <w:rFonts w:ascii="Georgia" w:cs="Georgia" w:eastAsia="Georgia" w:hAnsi="Georgia"/>
          <w:sz w:val="20"/>
          <w:szCs w:val="20"/>
        </w:rPr>
        <w:t xml:space="preserve">Ölçüm çerçevesini üye sayısından ritme kaydırın. New York pazarındaki çoklu üyelik gerçeği, üye sayısını yanıltıcı bir metrik hâline getirmektedir. Birincil gösterge paneli üye sayısı değil; üye başına aylık ziyaret sayısı, zirve saat doluluğu ve tekrar eden ritüellere katılım oranı olmalıdır.</w:t>
      </w:r>
    </w:p>
    <w:p>
      <w:pPr>
        <w:pStyle w:val="ListParagraph"/>
        <w:numPr>
          <w:ilvl w:val="0"/>
          <w:numId w:val="3"/>
        </w:numPr>
        <w:spacing w:after="110" w:line="264"/>
        <w:jc w:val="both"/>
      </w:pPr>
      <w:r>
        <w:rPr>
          <w:rFonts w:ascii="Georgia" w:cs="Georgia" w:eastAsia="Georgia" w:hAnsi="Georgia"/>
          <w:sz w:val="20"/>
          <w:szCs w:val="20"/>
        </w:rPr>
        <w:t xml:space="preserve">Fiyat artışını daima hizmet genişlemesiyle eşleştirin. Costco aidatını artırdığında yenileme oranını koruyabilmiştir; çünkü değer önerisi artışın çok üzerindedir. Bir üçüncü mekânda aynı disiplin geçerlidir: üyeye yeni bir şey verilmediği bir yılda yapılan zam, felsefe metninin tüm iddiasını tek hamlede geçersiz kılar.</w:t>
      </w:r>
    </w:p>
    <w:p>
      <w:pPr>
        <w:pStyle w:val="Heading2"/>
        <w:spacing w:after="110" w:before="260"/>
      </w:pPr>
      <w:r>
        <w:rPr>
          <w:rFonts w:ascii="Georgia" w:cs="Georgia" w:eastAsia="Georgia" w:hAnsi="Georgia"/>
          <w:b/>
          <w:bCs/>
          <w:color w:val="1F3864"/>
          <w:sz w:val="22"/>
          <w:szCs w:val="22"/>
        </w:rPr>
        <w:t xml:space="preserve">10.3  Önerilen gösterge paneli</w:t>
      </w:r>
    </w:p>
    <w:p>
      <w:pPr>
        <w:spacing w:after="90" w:before="200"/>
      </w:pPr>
      <w:r>
        <w:rPr>
          <w:rFonts w:ascii="Georgia" w:cs="Georgia" w:eastAsia="Georgia" w:hAnsi="Georgia"/>
          <w:b/>
          <w:bCs/>
          <w:caps/>
          <w:color w:val="8C6D1F"/>
          <w:spacing w:val="10"/>
          <w:sz w:val="17"/>
          <w:szCs w:val="17"/>
        </w:rPr>
        <w:t xml:space="preserve">Tablo 10 — Üyelik sağlığı gösterge paneli ve kıyas hedefleri</w:t>
      </w:r>
    </w:p>
    <w:tbl>
      <w:tblPr>
        <w:tblW w:type="dxa" w:w="10080"/>
        <w:tblBorders>
          <w:top w:val="single" w:color="1F3864" w:sz="6"/>
          <w:left w:val="none" w:color="FFFFFF" w:sz="0"/>
          <w:bottom w:val="single" w:color="1F3864" w:sz="6"/>
          <w:right w:val="none" w:color="FFFFFF" w:sz="0"/>
          <w:insideH w:val="single" w:color="BFBFBF" w:sz="2"/>
          <w:insideV w:val="none" w:color="FFFFFF" w:sz="0"/>
        </w:tblBorders>
      </w:tblPr>
      <w:tblGrid>
        <w:gridCol w:w="2900"/>
        <w:gridCol w:w="3400"/>
        <w:gridCol w:w="3780"/>
      </w:tblGrid>
      <w:tr>
        <w:trPr>
          <w:tblHeader/>
        </w:trPr>
        <w:tc>
          <w:tcPr>
            <w:tcW w:type="dxa" w:w="29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Gösterge</w:t>
            </w:r>
          </w:p>
        </w:tc>
        <w:tc>
          <w:tcPr>
            <w:tcW w:type="dxa" w:w="340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Tanım</w:t>
            </w:r>
          </w:p>
        </w:tc>
        <w:tc>
          <w:tcPr>
            <w:tcW w:type="dxa" w:w="3780"/>
            <w:shd w:fill="1F3864"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FFFFFF"/>
                <w:sz w:val="16"/>
                <w:szCs w:val="16"/>
              </w:rPr>
              <w:t xml:space="preserve">Kıyas / hedef aralığı</w:t>
            </w:r>
          </w:p>
        </w:tc>
      </w:tr>
      <w:tr>
        <w:trPr>
          <w:tblHeader w:val="false"/>
        </w:trPr>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Tenured yenileme oranı</w:t>
            </w:r>
          </w:p>
        </w:tc>
        <w:tc>
          <w:tcPr>
            <w:tcW w:type="dxa" w:w="3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İlk yılını tamamlamış üyelerde yenileme</w:t>
            </w:r>
          </w:p>
        </w:tc>
        <w:tc>
          <w:tcPr>
            <w:tcW w:type="dxa" w:w="37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 %85 (kıyas: Costco %92,3; BJ's ~%90)</w:t>
            </w:r>
          </w:p>
        </w:tc>
      </w:tr>
      <w:tr>
        <w:trPr>
          <w:tblHeader w:val="false"/>
        </w:trPr>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Üye başına aylık ziyaret</w:t>
            </w:r>
          </w:p>
        </w:tc>
        <w:tc>
          <w:tcPr>
            <w:tcW w:type="dxa" w:w="3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Toplam ziyaret / aktif üye</w:t>
            </w:r>
          </w:p>
        </w:tc>
        <w:tc>
          <w:tcPr>
            <w:tcW w:type="dxa" w:w="37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 4 (haftalık ritüel eşiği)</w:t>
            </w:r>
          </w:p>
        </w:tc>
      </w:tr>
      <w:tr>
        <w:trPr>
          <w:tblHeader w:val="false"/>
        </w:trPr>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90 gün aktivasyon</w:t>
            </w:r>
          </w:p>
        </w:tc>
        <w:tc>
          <w:tcPr>
            <w:tcW w:type="dxa" w:w="3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İlk 90 günde en az 6 ziyaret yapan yeni üye oranı</w:t>
            </w:r>
          </w:p>
        </w:tc>
        <w:tc>
          <w:tcPr>
            <w:tcW w:type="dxa" w:w="37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 %70</w:t>
            </w:r>
          </w:p>
        </w:tc>
      </w:tr>
      <w:tr>
        <w:trPr>
          <w:tblHeader w:val="false"/>
        </w:trPr>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Sosyal bağ oranı</w:t>
            </w:r>
          </w:p>
        </w:tc>
        <w:tc>
          <w:tcPr>
            <w:tcW w:type="dxa" w:w="3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Kulüpte en az üç kişiyi tanıyan üye oranı</w:t>
            </w:r>
          </w:p>
        </w:tc>
        <w:tc>
          <w:tcPr>
            <w:tcW w:type="dxa" w:w="37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 %60 (yenilemenin en güçlü öncü göstergesi)</w:t>
            </w:r>
          </w:p>
        </w:tc>
      </w:tr>
      <w:tr>
        <w:trPr>
          <w:tblHeader w:val="false"/>
        </w:trPr>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Aidat dışı gelir / aidat</w:t>
            </w:r>
          </w:p>
        </w:tc>
        <w:tc>
          <w:tcPr>
            <w:tcW w:type="dxa" w:w="3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Kulüp içi harcamanın aidata oranı</w:t>
            </w:r>
          </w:p>
        </w:tc>
        <w:tc>
          <w:tcPr>
            <w:tcW w:type="dxa" w:w="37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1,5x – 3,0x</w:t>
            </w:r>
          </w:p>
        </w:tc>
      </w:tr>
      <w:tr>
        <w:trPr>
          <w:tblHeader w:val="false"/>
        </w:trPr>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Üye başına gelir büyümesi</w:t>
            </w:r>
          </w:p>
        </w:tc>
        <w:tc>
          <w:tcPr>
            <w:tcW w:type="dxa" w:w="3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Yıllık</w:t>
            </w:r>
          </w:p>
        </w:tc>
        <w:tc>
          <w:tcPr>
            <w:tcW w:type="dxa" w:w="37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 %8 (kıyas: Life Time +%11,8)</w:t>
            </w:r>
          </w:p>
        </w:tc>
      </w:tr>
      <w:tr>
        <w:trPr>
          <w:tblHeader w:val="false"/>
        </w:trPr>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Referans payı</w:t>
            </w:r>
          </w:p>
        </w:tc>
        <w:tc>
          <w:tcPr>
            <w:tcW w:type="dxa" w:w="3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Mevcut üye yönlendirmesiyle gelen yeni üye oranı</w:t>
            </w:r>
          </w:p>
        </w:tc>
        <w:tc>
          <w:tcPr>
            <w:tcW w:type="dxa" w:w="37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 %40</w:t>
            </w:r>
          </w:p>
        </w:tc>
      </w:tr>
      <w:tr>
        <w:trPr>
          <w:tblHeader w:val="false"/>
        </w:trPr>
        <w:tc>
          <w:tcPr>
            <w:tcW w:type="dxa" w:w="29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Zirve saat doluluğu</w:t>
            </w:r>
          </w:p>
        </w:tc>
        <w:tc>
          <w:tcPr>
            <w:tcW w:type="dxa" w:w="340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Kapasiteye oran</w:t>
            </w:r>
          </w:p>
        </w:tc>
        <w:tc>
          <w:tcPr>
            <w:tcW w:type="dxa" w:w="3780"/>
            <w:shd w:fill="F2F2F2" w:color="auto" w:val="clear"/>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Bant %70 – %85</w:t>
            </w:r>
          </w:p>
        </w:tc>
      </w:tr>
      <w:tr>
        <w:trPr>
          <w:tblHeader w:val="false"/>
        </w:trPr>
        <w:tc>
          <w:tcPr>
            <w:tcW w:type="dxa" w:w="2900"/>
            <w:tcMar>
              <w:top w:type="dxa" w:w="70"/>
              <w:left w:type="dxa" w:w="100"/>
              <w:bottom w:type="dxa" w:w="70"/>
              <w:right w:type="dxa" w:w="100"/>
            </w:tcMar>
            <w:vAlign w:val="center"/>
          </w:tcPr>
          <w:p>
            <w:pPr>
              <w:spacing w:after="0" w:line="240"/>
              <w:jc w:val="left"/>
            </w:pPr>
            <w:r>
              <w:rPr>
                <w:rFonts w:ascii="Georgia" w:cs="Georgia" w:eastAsia="Georgia" w:hAnsi="Georgia"/>
                <w:b/>
                <w:bCs/>
                <w:color w:val="1A1A1A"/>
                <w:sz w:val="17"/>
                <w:szCs w:val="17"/>
              </w:rPr>
              <w:t xml:space="preserve">Genç kohort churn</w:t>
            </w:r>
          </w:p>
        </w:tc>
        <w:tc>
          <w:tcPr>
            <w:tcW w:type="dxa" w:w="340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18–24 yaş yıllık kayıp oranı</w:t>
            </w:r>
          </w:p>
        </w:tc>
        <w:tc>
          <w:tcPr>
            <w:tcW w:type="dxa" w:w="3780"/>
            <w:tcMar>
              <w:top w:type="dxa" w:w="70"/>
              <w:left w:type="dxa" w:w="100"/>
              <w:bottom w:type="dxa" w:w="70"/>
              <w:right w:type="dxa" w:w="100"/>
            </w:tcMar>
            <w:vAlign w:val="center"/>
          </w:tcPr>
          <w:p>
            <w:pPr>
              <w:spacing w:after="0" w:line="240"/>
              <w:jc w:val="left"/>
            </w:pPr>
            <w:r>
              <w:rPr>
                <w:rFonts w:ascii="Georgia" w:cs="Georgia" w:eastAsia="Georgia" w:hAnsi="Georgia"/>
                <w:b w:val="false"/>
                <w:bCs w:val="false"/>
                <w:color w:val="1A1A1A"/>
                <w:sz w:val="17"/>
                <w:szCs w:val="17"/>
              </w:rPr>
              <w:t xml:space="preserve">Hedef &lt; %40 (sektör ortalaması %54,4)</w:t>
            </w:r>
          </w:p>
        </w:tc>
      </w:tr>
    </w:tbl>
    <w:p>
      <w:pPr>
        <w:spacing w:after="200" w:before="70"/>
      </w:pPr>
      <w:r>
        <w:rPr>
          <w:rFonts w:ascii="Georgia" w:cs="Georgia" w:eastAsia="Georgia" w:hAnsi="Georgia"/>
          <w:i/>
          <w:iCs/>
          <w:color w:val="595959"/>
          <w:sz w:val="15"/>
          <w:szCs w:val="15"/>
        </w:rPr>
        <w:t xml:space="preserve">Kaynak: Value Masters Academy analizi; şirket açıklamaları ve sektör kıyaslamaları.</w:t>
      </w:r>
    </w:p>
    <w:p>
      <w:pPr>
        <w:pStyle w:val="Heading2"/>
        <w:spacing w:after="110" w:before="260"/>
      </w:pPr>
      <w:r>
        <w:rPr>
          <w:rFonts w:ascii="Georgia" w:cs="Georgia" w:eastAsia="Georgia" w:hAnsi="Georgia"/>
          <w:b/>
          <w:bCs/>
          <w:color w:val="1F3864"/>
          <w:sz w:val="22"/>
          <w:szCs w:val="22"/>
        </w:rPr>
        <w:t xml:space="preserve">10.4  Yerel uyarlama uyarısı</w:t>
      </w:r>
    </w:p>
    <w:p>
      <w:pPr>
        <w:spacing w:after="140" w:line="264"/>
        <w:jc w:val="both"/>
      </w:pPr>
      <w:r>
        <w:rPr>
          <w:rFonts w:ascii="Georgia" w:cs="Georgia" w:eastAsia="Georgia" w:hAnsi="Georgia"/>
          <w:color w:val="1A1A1A"/>
          <w:sz w:val="20"/>
          <w:szCs w:val="20"/>
        </w:rPr>
        <w:t xml:space="preserve">Bu Rapor'daki tüm fiyat, harcama ve penetrasyon verileri ABD pazarına aittir. ABD, üyelik ekonomisinin öncü göstergesi olduğu için model olarak seçilmiştir; ancak doğrudan aktarılamaz. ABD dışındaki bir pazarda hane harcanabilir geliri, kredi kartı ve otomatik ödeme yaygınlığı, üçüncü mekân alternatiflerinin (kahvehane, kulüp, dernek) mevcut yoğunluğu ve aidat ödeme kültürü farklıdır. Fiyat noktaları satın alma gücü paritesine göre yeniden hesaplanmalı; davranışsal bulgular (genç kohort churn'ü, abonelik konsolidasyonu, ritüel ihtiyacı) ise büyük ölçüde aktarılabilir kabul edilebilir.</w:t>
      </w:r>
    </w:p>
    <w:p>
      <w:pPr>
        <w:pBdr>
          <w:left w:val="single" w:color="8C6D1F" w:sz="18" w:space="12"/>
        </w:pBdr>
        <w:spacing w:after="220" w:before="200"/>
        <w:ind w:left="340" w:right="340"/>
        <w:jc w:val="left"/>
      </w:pPr>
      <w:r>
        <w:rPr>
          <w:rFonts w:ascii="Georgia" w:cs="Georgia" w:eastAsia="Georgia" w:hAnsi="Georgia"/>
          <w:i/>
          <w:iCs/>
          <w:color w:val="1F3864"/>
          <w:sz w:val="20"/>
          <w:szCs w:val="20"/>
        </w:rPr>
        <w:t xml:space="preserve">Sonuç: Atmosphere'in "bizim ölçümüz kâr değil, aidiyettir" ifadesi bir slogan olarak değil, bir ölçüm taahhüdü olarak ele alınırsa değerlidir. Aidiyet ölçülebilir: ziyaret sıklığı, sosyal bağ oranı, referans payı ve yenileme oranı. Bu dört sayı iyileşiyorsa aidiyet gerçektir; iyileşmiyorsa metin yalnızca bir metindir.</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11  </w:t>
      </w:r>
      <w:r>
        <w:rPr>
          <w:rFonts w:ascii="Georgia" w:cs="Georgia" w:eastAsia="Georgia" w:hAnsi="Georgia"/>
          <w:b/>
          <w:bCs/>
          <w:color w:val="1F3864"/>
          <w:spacing w:val="14"/>
          <w:sz w:val="26"/>
          <w:szCs w:val="26"/>
        </w:rPr>
        <w:t xml:space="preserve">EK A — KAYNAKÇA</w:t>
      </w:r>
    </w:p>
    <w:p>
      <w:pPr>
        <w:spacing w:after="90" w:before="180"/>
      </w:pPr>
      <w:r>
        <w:rPr>
          <w:rFonts w:ascii="Georgia" w:cs="Georgia" w:eastAsia="Georgia" w:hAnsi="Georgia"/>
          <w:b/>
          <w:bCs/>
          <w:i/>
          <w:iCs/>
          <w:color w:val="595959"/>
          <w:sz w:val="20"/>
          <w:szCs w:val="20"/>
        </w:rPr>
        <w:t xml:space="preserve">Sektör birlikleri ve birincil sektör araştırmaları</w:t>
      </w:r>
    </w:p>
    <w:p>
      <w:pPr>
        <w:pStyle w:val="ListParagraph"/>
        <w:numPr>
          <w:ilvl w:val="0"/>
          <w:numId w:val="2"/>
        </w:numPr>
        <w:spacing w:after="90" w:line="264"/>
        <w:jc w:val="both"/>
      </w:pPr>
      <w:r>
        <w:rPr>
          <w:rFonts w:ascii="Georgia" w:cs="Georgia" w:eastAsia="Georgia" w:hAnsi="Georgia"/>
          <w:sz w:val="20"/>
          <w:szCs w:val="20"/>
        </w:rPr>
        <w:t xml:space="preserve">Health &amp; Fitness Association, 2026 US Health &amp; Fitness Consumer Report: Headline Trends (Nisan 2026).</w:t>
      </w:r>
    </w:p>
    <w:p>
      <w:pPr>
        <w:pStyle w:val="ListParagraph"/>
        <w:numPr>
          <w:ilvl w:val="0"/>
          <w:numId w:val="2"/>
        </w:numPr>
        <w:spacing w:after="90" w:line="264"/>
        <w:jc w:val="both"/>
      </w:pPr>
      <w:r>
        <w:rPr>
          <w:rFonts w:ascii="Georgia" w:cs="Georgia" w:eastAsia="Georgia" w:hAnsi="Georgia"/>
          <w:sz w:val="20"/>
          <w:szCs w:val="20"/>
        </w:rPr>
        <w:t xml:space="preserve">ABC Fitness, Wellness Watch (2025–2026) — kohort bazlı üyelik ve churn verileri.</w:t>
      </w:r>
    </w:p>
    <w:p>
      <w:pPr>
        <w:pStyle w:val="ListParagraph"/>
        <w:numPr>
          <w:ilvl w:val="0"/>
          <w:numId w:val="2"/>
        </w:numPr>
        <w:spacing w:after="90" w:line="264"/>
        <w:jc w:val="both"/>
      </w:pPr>
      <w:r>
        <w:rPr>
          <w:rFonts w:ascii="Georgia" w:cs="Georgia" w:eastAsia="Georgia" w:hAnsi="Georgia"/>
          <w:sz w:val="20"/>
          <w:szCs w:val="20"/>
        </w:rPr>
        <w:t xml:space="preserve">CoworkingCafe / Yardi Matrix, U.S. Coworking Industry Report, 1Ç ve 2Ç 2026; Coworking Index.</w:t>
      </w:r>
    </w:p>
    <w:p>
      <w:pPr>
        <w:pStyle w:val="ListParagraph"/>
        <w:numPr>
          <w:ilvl w:val="0"/>
          <w:numId w:val="2"/>
        </w:numPr>
        <w:spacing w:after="90" w:line="264"/>
        <w:jc w:val="both"/>
      </w:pPr>
      <w:r>
        <w:rPr>
          <w:rFonts w:ascii="Georgia" w:cs="Georgia" w:eastAsia="Georgia" w:hAnsi="Georgia"/>
          <w:sz w:val="20"/>
          <w:szCs w:val="20"/>
        </w:rPr>
        <w:t xml:space="preserve">Deskmag, Global Coworking Space Trends Survey (2025) — operatör kârlılığı.</w:t>
      </w:r>
    </w:p>
    <w:p>
      <w:pPr>
        <w:spacing w:after="90" w:before="180"/>
      </w:pPr>
      <w:r>
        <w:rPr>
          <w:rFonts w:ascii="Georgia" w:cs="Georgia" w:eastAsia="Georgia" w:hAnsi="Georgia"/>
          <w:b/>
          <w:bCs/>
          <w:i/>
          <w:iCs/>
          <w:color w:val="595959"/>
          <w:sz w:val="20"/>
          <w:szCs w:val="20"/>
        </w:rPr>
        <w:t xml:space="preserve">Şirket açıklamaları ve finansal raporlar</w:t>
      </w:r>
    </w:p>
    <w:p>
      <w:pPr>
        <w:pStyle w:val="ListParagraph"/>
        <w:numPr>
          <w:ilvl w:val="0"/>
          <w:numId w:val="2"/>
        </w:numPr>
        <w:spacing w:after="90" w:line="264"/>
        <w:jc w:val="both"/>
      </w:pPr>
      <w:r>
        <w:rPr>
          <w:rFonts w:ascii="Georgia" w:cs="Georgia" w:eastAsia="Georgia" w:hAnsi="Georgia"/>
          <w:sz w:val="20"/>
          <w:szCs w:val="20"/>
        </w:rPr>
        <w:t xml:space="preserve">Costco Wholesale Corporation — FY2025 yıllık raporu; 1Ç ve 3Ç FY2026 sonuçları.</w:t>
      </w:r>
    </w:p>
    <w:p>
      <w:pPr>
        <w:pStyle w:val="ListParagraph"/>
        <w:numPr>
          <w:ilvl w:val="0"/>
          <w:numId w:val="2"/>
        </w:numPr>
        <w:spacing w:after="90" w:line="264"/>
        <w:jc w:val="both"/>
      </w:pPr>
      <w:r>
        <w:rPr>
          <w:rFonts w:ascii="Georgia" w:cs="Georgia" w:eastAsia="Georgia" w:hAnsi="Georgia"/>
          <w:sz w:val="20"/>
          <w:szCs w:val="20"/>
        </w:rPr>
        <w:t xml:space="preserve">Walmart Inc. / Sam's Club — çeyreklik üyelik geliri açıklamaları (FY2026).</w:t>
      </w:r>
    </w:p>
    <w:p>
      <w:pPr>
        <w:pStyle w:val="ListParagraph"/>
        <w:numPr>
          <w:ilvl w:val="0"/>
          <w:numId w:val="2"/>
        </w:numPr>
        <w:spacing w:after="90" w:line="264"/>
        <w:jc w:val="both"/>
      </w:pPr>
      <w:r>
        <w:rPr>
          <w:rFonts w:ascii="Georgia" w:cs="Georgia" w:eastAsia="Georgia" w:hAnsi="Georgia"/>
          <w:sz w:val="20"/>
          <w:szCs w:val="20"/>
        </w:rPr>
        <w:t xml:space="preserve">BJ's Wholesale Club Holdings, Inc. — çeyreklik üyelik geliri ve yenileme verileri.</w:t>
      </w:r>
    </w:p>
    <w:p>
      <w:pPr>
        <w:pStyle w:val="ListParagraph"/>
        <w:numPr>
          <w:ilvl w:val="0"/>
          <w:numId w:val="2"/>
        </w:numPr>
        <w:spacing w:after="90" w:line="264"/>
        <w:jc w:val="both"/>
      </w:pPr>
      <w:r>
        <w:rPr>
          <w:rFonts w:ascii="Georgia" w:cs="Georgia" w:eastAsia="Georgia" w:hAnsi="Georgia"/>
          <w:sz w:val="20"/>
          <w:szCs w:val="20"/>
        </w:rPr>
        <w:t xml:space="preserve">Life Time Group Holdings, Inc. — 1Ç ve 2Ç 2026 sonuçları, kazanç görüşmesi transkriptleri, FY2026 beklentileri.</w:t>
      </w:r>
    </w:p>
    <w:p>
      <w:pPr>
        <w:pStyle w:val="ListParagraph"/>
        <w:numPr>
          <w:ilvl w:val="0"/>
          <w:numId w:val="2"/>
        </w:numPr>
        <w:spacing w:after="90" w:line="264"/>
        <w:jc w:val="both"/>
      </w:pPr>
      <w:r>
        <w:rPr>
          <w:rFonts w:ascii="Georgia" w:cs="Georgia" w:eastAsia="Georgia" w:hAnsi="Georgia"/>
          <w:sz w:val="20"/>
          <w:szCs w:val="20"/>
        </w:rPr>
        <w:t xml:space="preserve">Planet Fitness, Inc. — 2025 sonuçları ve 2026 görünümü.</w:t>
      </w:r>
    </w:p>
    <w:p>
      <w:pPr>
        <w:pStyle w:val="ListParagraph"/>
        <w:numPr>
          <w:ilvl w:val="0"/>
          <w:numId w:val="2"/>
        </w:numPr>
        <w:spacing w:after="90" w:line="264"/>
        <w:jc w:val="both"/>
      </w:pPr>
      <w:r>
        <w:rPr>
          <w:rFonts w:ascii="Georgia" w:cs="Georgia" w:eastAsia="Georgia" w:hAnsi="Georgia"/>
          <w:sz w:val="20"/>
          <w:szCs w:val="20"/>
        </w:rPr>
        <w:t xml:space="preserve">Soho House &amp; Co Inc. — halka kapanma işlemine ilişkin duyurular ve SEC dosyalamaları (Ağustos 2025 – Ocak 2026).</w:t>
      </w:r>
    </w:p>
    <w:p>
      <w:pPr>
        <w:pStyle w:val="ListParagraph"/>
        <w:numPr>
          <w:ilvl w:val="0"/>
          <w:numId w:val="2"/>
        </w:numPr>
        <w:spacing w:after="90" w:line="264"/>
        <w:jc w:val="both"/>
      </w:pPr>
      <w:r>
        <w:rPr>
          <w:rFonts w:ascii="Georgia" w:cs="Georgia" w:eastAsia="Georgia" w:hAnsi="Georgia"/>
          <w:sz w:val="20"/>
          <w:szCs w:val="20"/>
        </w:rPr>
        <w:t xml:space="preserve">MCR Hotels — Soho House take-private basın açıklaması (18 Ağustos 2025).</w:t>
      </w:r>
    </w:p>
    <w:p>
      <w:pPr>
        <w:spacing w:after="90" w:before="180"/>
      </w:pPr>
      <w:r>
        <w:rPr>
          <w:rFonts w:ascii="Georgia" w:cs="Georgia" w:eastAsia="Georgia" w:hAnsi="Georgia"/>
          <w:b/>
          <w:bCs/>
          <w:i/>
          <w:iCs/>
          <w:color w:val="595959"/>
          <w:sz w:val="20"/>
          <w:szCs w:val="20"/>
        </w:rPr>
        <w:t xml:space="preserve">Pazar araştırması ve ticari veri sağlayıcıları</w:t>
      </w:r>
    </w:p>
    <w:p>
      <w:pPr>
        <w:pStyle w:val="ListParagraph"/>
        <w:numPr>
          <w:ilvl w:val="0"/>
          <w:numId w:val="2"/>
        </w:numPr>
        <w:spacing w:after="90" w:line="264"/>
        <w:jc w:val="both"/>
      </w:pPr>
      <w:r>
        <w:rPr>
          <w:rFonts w:ascii="Georgia" w:cs="Georgia" w:eastAsia="Georgia" w:hAnsi="Georgia"/>
          <w:sz w:val="20"/>
          <w:szCs w:val="20"/>
        </w:rPr>
        <w:t xml:space="preserve">IBISWorld — Gym, Health &amp; Fitness Club Operation in the US (Temmuz 2026).</w:t>
      </w:r>
    </w:p>
    <w:p>
      <w:pPr>
        <w:pStyle w:val="ListParagraph"/>
        <w:numPr>
          <w:ilvl w:val="0"/>
          <w:numId w:val="2"/>
        </w:numPr>
        <w:spacing w:after="90" w:line="264"/>
        <w:jc w:val="both"/>
      </w:pPr>
      <w:r>
        <w:rPr>
          <w:rFonts w:ascii="Georgia" w:cs="Georgia" w:eastAsia="Georgia" w:hAnsi="Georgia"/>
          <w:sz w:val="20"/>
          <w:szCs w:val="20"/>
        </w:rPr>
        <w:t xml:space="preserve">eMarketer / Bizrate Insights — ABD ücretli perakende üyelik geliri ve Prime penetrasyonu.</w:t>
      </w:r>
    </w:p>
    <w:p>
      <w:pPr>
        <w:pStyle w:val="ListParagraph"/>
        <w:numPr>
          <w:ilvl w:val="0"/>
          <w:numId w:val="2"/>
        </w:numPr>
        <w:spacing w:after="90" w:line="264"/>
        <w:jc w:val="both"/>
      </w:pPr>
      <w:r>
        <w:rPr>
          <w:rFonts w:ascii="Georgia" w:cs="Georgia" w:eastAsia="Georgia" w:hAnsi="Georgia"/>
          <w:sz w:val="20"/>
          <w:szCs w:val="20"/>
        </w:rPr>
        <w:t xml:space="preserve">Numerator — perakende sadakat ve üyelik kademesi harcama analizi (2026).</w:t>
      </w:r>
    </w:p>
    <w:p>
      <w:pPr>
        <w:pStyle w:val="ListParagraph"/>
        <w:numPr>
          <w:ilvl w:val="0"/>
          <w:numId w:val="2"/>
        </w:numPr>
        <w:spacing w:after="90" w:line="264"/>
        <w:jc w:val="both"/>
      </w:pPr>
      <w:r>
        <w:rPr>
          <w:rFonts w:ascii="Georgia" w:cs="Georgia" w:eastAsia="Georgia" w:hAnsi="Georgia"/>
          <w:sz w:val="20"/>
          <w:szCs w:val="20"/>
        </w:rPr>
        <w:t xml:space="preserve">Self Financial; C+R Research; West Monroe; Recurly — tüketici abonelik sayısı ve harcama anketleri.</w:t>
      </w:r>
    </w:p>
    <w:p>
      <w:pPr>
        <w:pStyle w:val="ListParagraph"/>
        <w:numPr>
          <w:ilvl w:val="0"/>
          <w:numId w:val="2"/>
        </w:numPr>
        <w:spacing w:after="90" w:line="264"/>
        <w:jc w:val="both"/>
      </w:pPr>
      <w:r>
        <w:rPr>
          <w:rFonts w:ascii="Georgia" w:cs="Georgia" w:eastAsia="Georgia" w:hAnsi="Georgia"/>
          <w:sz w:val="20"/>
          <w:szCs w:val="20"/>
        </w:rPr>
        <w:t xml:space="preserve">Deloitte, Digital Media Trends (2025–2026) — abonelik davranışı ve churn.</w:t>
      </w:r>
    </w:p>
    <w:p>
      <w:pPr>
        <w:pStyle w:val="ListParagraph"/>
        <w:numPr>
          <w:ilvl w:val="0"/>
          <w:numId w:val="2"/>
        </w:numPr>
        <w:spacing w:after="90" w:line="264"/>
        <w:jc w:val="both"/>
      </w:pPr>
      <w:r>
        <w:rPr>
          <w:rFonts w:ascii="Georgia" w:cs="Georgia" w:eastAsia="Georgia" w:hAnsi="Georgia"/>
          <w:sz w:val="20"/>
          <w:szCs w:val="20"/>
        </w:rPr>
        <w:t xml:space="preserve">Empower / YouGov — 2026 ABD fitness harcama niyeti araştırması (Ocak 2026).</w:t>
      </w:r>
    </w:p>
    <w:p>
      <w:pPr>
        <w:spacing w:after="90" w:before="180"/>
      </w:pPr>
      <w:r>
        <w:rPr>
          <w:rFonts w:ascii="Georgia" w:cs="Georgia" w:eastAsia="Georgia" w:hAnsi="Georgia"/>
          <w:b/>
          <w:bCs/>
          <w:i/>
          <w:iCs/>
          <w:color w:val="595959"/>
          <w:sz w:val="20"/>
          <w:szCs w:val="20"/>
        </w:rPr>
        <w:t xml:space="preserve">Basın ve sektör yayınları</w:t>
      </w:r>
    </w:p>
    <w:p>
      <w:pPr>
        <w:pStyle w:val="ListParagraph"/>
        <w:numPr>
          <w:ilvl w:val="0"/>
          <w:numId w:val="2"/>
        </w:numPr>
        <w:spacing w:after="90" w:line="264"/>
        <w:jc w:val="both"/>
      </w:pPr>
      <w:r>
        <w:rPr>
          <w:rFonts w:ascii="Georgia" w:cs="Georgia" w:eastAsia="Georgia" w:hAnsi="Georgia"/>
          <w:sz w:val="20"/>
          <w:szCs w:val="20"/>
        </w:rPr>
        <w:t xml:space="preserve">CNBC — wellness üçüncü mekânları ve premium/kitlesel fitness ayrışması (Şubat–Mart 2026).</w:t>
      </w:r>
    </w:p>
    <w:p>
      <w:pPr>
        <w:pStyle w:val="ListParagraph"/>
        <w:numPr>
          <w:ilvl w:val="0"/>
          <w:numId w:val="2"/>
        </w:numPr>
        <w:spacing w:after="90" w:line="264"/>
        <w:jc w:val="both"/>
      </w:pPr>
      <w:r>
        <w:rPr>
          <w:rFonts w:ascii="Georgia" w:cs="Georgia" w:eastAsia="Georgia" w:hAnsi="Georgia"/>
          <w:sz w:val="20"/>
          <w:szCs w:val="20"/>
        </w:rPr>
        <w:t xml:space="preserve">The Hollywood Reporter — New York özel kulüp pazarının doygunluk analizi (Mayıs 2026).</w:t>
      </w:r>
    </w:p>
    <w:p>
      <w:pPr>
        <w:pStyle w:val="ListParagraph"/>
        <w:numPr>
          <w:ilvl w:val="0"/>
          <w:numId w:val="2"/>
        </w:numPr>
        <w:spacing w:after="90" w:line="264"/>
        <w:jc w:val="both"/>
      </w:pPr>
      <w:r>
        <w:rPr>
          <w:rFonts w:ascii="Georgia" w:cs="Georgia" w:eastAsia="Georgia" w:hAnsi="Georgia"/>
          <w:sz w:val="20"/>
          <w:szCs w:val="20"/>
        </w:rPr>
        <w:t xml:space="preserve">Forbes — üçüncü mekân canlanması ve topluluk ekonomisi (Temmuz 2026).</w:t>
      </w:r>
    </w:p>
    <w:p>
      <w:pPr>
        <w:pStyle w:val="ListParagraph"/>
        <w:numPr>
          <w:ilvl w:val="0"/>
          <w:numId w:val="2"/>
        </w:numPr>
        <w:spacing w:after="90" w:line="264"/>
        <w:jc w:val="both"/>
      </w:pPr>
      <w:r>
        <w:rPr>
          <w:rFonts w:ascii="Georgia" w:cs="Georgia" w:eastAsia="Georgia" w:hAnsi="Georgia"/>
          <w:sz w:val="20"/>
          <w:szCs w:val="20"/>
        </w:rPr>
        <w:t xml:space="preserve">Athletech News; Health Club Management; Allwork.Space — sektör performans haberleri.</w:t>
      </w:r>
    </w:p>
    <w:p>
      <w:pPr>
        <w:pStyle w:val="ListParagraph"/>
        <w:numPr>
          <w:ilvl w:val="0"/>
          <w:numId w:val="2"/>
        </w:numPr>
        <w:spacing w:after="90" w:line="264"/>
        <w:jc w:val="both"/>
      </w:pPr>
      <w:r>
        <w:rPr>
          <w:rFonts w:ascii="Georgia" w:cs="Georgia" w:eastAsia="Georgia" w:hAnsi="Georgia"/>
          <w:sz w:val="20"/>
          <w:szCs w:val="20"/>
        </w:rPr>
        <w:t xml:space="preserve">New York özel kulüp fiyatlandırmasına ilişkin basın derlemeleri (2025–2026).</w:t>
      </w:r>
    </w:p>
    <w:p>
      <w:pPr>
        <w:spacing w:after="90" w:before="180"/>
      </w:pPr>
      <w:r>
        <w:rPr>
          <w:rFonts w:ascii="Georgia" w:cs="Georgia" w:eastAsia="Georgia" w:hAnsi="Georgia"/>
          <w:b/>
          <w:bCs/>
          <w:i/>
          <w:iCs/>
          <w:color w:val="595959"/>
          <w:sz w:val="20"/>
          <w:szCs w:val="20"/>
        </w:rPr>
        <w:t xml:space="preserve">Akademik dayanaklar (Atmosphere felsefe metninde atıf yapılanlar)</w:t>
      </w:r>
    </w:p>
    <w:p>
      <w:pPr>
        <w:pStyle w:val="ListParagraph"/>
        <w:numPr>
          <w:ilvl w:val="0"/>
          <w:numId w:val="2"/>
        </w:numPr>
        <w:spacing w:after="90" w:line="264"/>
        <w:jc w:val="both"/>
      </w:pPr>
      <w:r>
        <w:rPr>
          <w:rFonts w:ascii="Georgia" w:cs="Georgia" w:eastAsia="Georgia" w:hAnsi="Georgia"/>
          <w:sz w:val="20"/>
          <w:szCs w:val="20"/>
        </w:rPr>
        <w:t xml:space="preserve">Baumeister, R. F. &amp; Leary, M. R. (1995), The Need to Belong.</w:t>
      </w:r>
    </w:p>
    <w:p>
      <w:pPr>
        <w:pStyle w:val="ListParagraph"/>
        <w:numPr>
          <w:ilvl w:val="0"/>
          <w:numId w:val="2"/>
        </w:numPr>
        <w:spacing w:after="90" w:line="264"/>
        <w:jc w:val="both"/>
      </w:pPr>
      <w:r>
        <w:rPr>
          <w:rFonts w:ascii="Georgia" w:cs="Georgia" w:eastAsia="Georgia" w:hAnsi="Georgia"/>
          <w:sz w:val="20"/>
          <w:szCs w:val="20"/>
        </w:rPr>
        <w:t xml:space="preserve">McMillan, D. W. &amp; Chavis, D. M. (1986), Sense of Community: A Theory and Definition.</w:t>
      </w:r>
    </w:p>
    <w:p>
      <w:pPr>
        <w:pStyle w:val="ListParagraph"/>
        <w:numPr>
          <w:ilvl w:val="0"/>
          <w:numId w:val="2"/>
        </w:numPr>
        <w:spacing w:after="90" w:line="264"/>
        <w:jc w:val="both"/>
      </w:pPr>
      <w:r>
        <w:rPr>
          <w:rFonts w:ascii="Georgia" w:cs="Georgia" w:eastAsia="Georgia" w:hAnsi="Georgia"/>
          <w:sz w:val="20"/>
          <w:szCs w:val="20"/>
        </w:rPr>
        <w:t xml:space="preserve">Aronson, E. &amp; Mills, J. (1959), The Effect of Severity of Initiation on Liking for a Group.</w:t>
      </w:r>
    </w:p>
    <w:p>
      <w:pPr>
        <w:pStyle w:val="ListParagraph"/>
        <w:numPr>
          <w:ilvl w:val="0"/>
          <w:numId w:val="2"/>
        </w:numPr>
        <w:spacing w:after="90" w:line="264"/>
        <w:jc w:val="both"/>
      </w:pPr>
      <w:r>
        <w:rPr>
          <w:rFonts w:ascii="Georgia" w:cs="Georgia" w:eastAsia="Georgia" w:hAnsi="Georgia"/>
          <w:sz w:val="20"/>
          <w:szCs w:val="20"/>
        </w:rPr>
        <w:t xml:space="preserve">Rusbult, C. E., Investment Model of Commitment Processes.</w:t>
      </w:r>
    </w:p>
    <w:p>
      <w:pPr>
        <w:pStyle w:val="ListParagraph"/>
        <w:numPr>
          <w:ilvl w:val="0"/>
          <w:numId w:val="2"/>
        </w:numPr>
        <w:spacing w:after="90" w:line="264"/>
        <w:jc w:val="both"/>
      </w:pPr>
      <w:r>
        <w:rPr>
          <w:rFonts w:ascii="Georgia" w:cs="Georgia" w:eastAsia="Georgia" w:hAnsi="Georgia"/>
          <w:sz w:val="20"/>
          <w:szCs w:val="20"/>
        </w:rPr>
        <w:t xml:space="preserve">Oldenburg, R. (1989), The Great Good Place.</w:t>
      </w:r>
    </w:p>
    <w:p>
      <w:r>
        <w:br w:type="page"/>
      </w:r>
    </w:p>
    <w:p>
      <w:pPr>
        <w:pStyle w:val="Heading1"/>
        <w:pBdr>
          <w:bottom w:val="single" w:color="1F3864" w:sz="8" w:space="6"/>
        </w:pBdr>
        <w:spacing w:after="180" w:before="380"/>
      </w:pPr>
      <w:r>
        <w:rPr>
          <w:rFonts w:ascii="Georgia" w:cs="Georgia" w:eastAsia="Georgia" w:hAnsi="Georgia"/>
          <w:b/>
          <w:bCs/>
          <w:color w:val="8C6D1F"/>
          <w:sz w:val="26"/>
          <w:szCs w:val="26"/>
        </w:rPr>
        <w:t xml:space="preserve">12  </w:t>
      </w:r>
      <w:r>
        <w:rPr>
          <w:rFonts w:ascii="Georgia" w:cs="Georgia" w:eastAsia="Georgia" w:hAnsi="Georgia"/>
          <w:b/>
          <w:bCs/>
          <w:color w:val="1F3864"/>
          <w:spacing w:val="14"/>
          <w:sz w:val="26"/>
          <w:szCs w:val="26"/>
        </w:rPr>
        <w:t xml:space="preserve">EK B — METODOLOJI NOTLARI VE SINIRLAMALAR</w:t>
      </w:r>
    </w:p>
    <w:p>
      <w:pPr>
        <w:pStyle w:val="Heading2"/>
        <w:spacing w:after="110" w:before="260"/>
      </w:pPr>
      <w:r>
        <w:rPr>
          <w:rFonts w:ascii="Georgia" w:cs="Georgia" w:eastAsia="Georgia" w:hAnsi="Georgia"/>
          <w:b/>
          <w:bCs/>
          <w:color w:val="1F3864"/>
          <w:sz w:val="22"/>
          <w:szCs w:val="22"/>
        </w:rPr>
        <w:t xml:space="preserve">Veri kalitesi hiyerarşisi</w:t>
      </w:r>
    </w:p>
    <w:p>
      <w:pPr>
        <w:spacing w:after="140" w:line="264"/>
        <w:jc w:val="both"/>
      </w:pPr>
      <w:r>
        <w:rPr>
          <w:rFonts w:ascii="Georgia" w:cs="Georgia" w:eastAsia="Georgia" w:hAnsi="Georgia"/>
          <w:color w:val="1A1A1A"/>
          <w:sz w:val="20"/>
          <w:szCs w:val="20"/>
        </w:rPr>
        <w:t xml:space="preserve">Rapor'da kullanılan veriler güvenilirlik açısından üç kademeye ayrılmıştır. Birinci kademe, halka açık şirketlerin denetlenmiş veya raporlanmış finansal ve operasyonel verileridir (Costco, Life Time, Soho House); bu veriler yüksek güvenilirliktedir. İkinci kademe, sektör birliklerinin standart metodolojiyle yürüttüğü yıllık araştırmalardır (HFA, CoworkingCafe); metodolojik olarak tutarlıdır ancak örneklem sınırlarına tabidir. Üçüncü kademe, ticari araştırma sağlayıcılarının pazar büyüklüğü tahminleri ve basına yansıyan fiyat beyanlarıdır; bu kademede sağlayıcılar arasında ciddi ayrışma bulunmakta ve rakamlar yalnızca gösterge niteliği taşımaktadır.</w:t>
      </w:r>
    </w:p>
    <w:p>
      <w:pPr>
        <w:pStyle w:val="Heading2"/>
        <w:spacing w:after="110" w:before="260"/>
      </w:pPr>
      <w:r>
        <w:rPr>
          <w:rFonts w:ascii="Georgia" w:cs="Georgia" w:eastAsia="Georgia" w:hAnsi="Georgia"/>
          <w:b/>
          <w:bCs/>
          <w:color w:val="1F3864"/>
          <w:sz w:val="22"/>
          <w:szCs w:val="22"/>
        </w:rPr>
        <w:t xml:space="preserve">Bilinen ayrışmalar</w:t>
      </w:r>
    </w:p>
    <w:p>
      <w:pPr>
        <w:pStyle w:val="ListParagraph"/>
        <w:numPr>
          <w:ilvl w:val="0"/>
          <w:numId w:val="2"/>
        </w:numPr>
        <w:spacing w:after="90" w:line="264"/>
        <w:jc w:val="both"/>
      </w:pPr>
      <w:r>
        <w:rPr>
          <w:rFonts w:ascii="Georgia" w:cs="Georgia" w:eastAsia="Georgia" w:hAnsi="Georgia"/>
          <w:b/>
          <w:bCs/>
          <w:color w:val="1F3864"/>
          <w:sz w:val="20"/>
          <w:szCs w:val="20"/>
        </w:rPr>
        <w:t xml:space="preserve">Spor kulübü pazar büyüklüğü. </w:t>
      </w:r>
      <w:r>
        <w:rPr>
          <w:rFonts w:ascii="Georgia" w:cs="Georgia" w:eastAsia="Georgia" w:hAnsi="Georgia"/>
          <w:sz w:val="20"/>
          <w:szCs w:val="20"/>
        </w:rPr>
        <w:t xml:space="preserve">Farklı sağlayıcılar 2026 için 38,6 milyar dolardan 48,2 milyar dolara uzanan tahminler yayımlamaktadır. Rapor, en yaygın kullanılan ~47 milyar dolar bandını esas almıştır.</w:t>
      </w:r>
    </w:p>
    <w:p>
      <w:pPr>
        <w:pStyle w:val="ListParagraph"/>
        <w:numPr>
          <w:ilvl w:val="0"/>
          <w:numId w:val="2"/>
        </w:numPr>
        <w:spacing w:after="90" w:line="264"/>
        <w:jc w:val="both"/>
      </w:pPr>
      <w:r>
        <w:rPr>
          <w:rFonts w:ascii="Georgia" w:cs="Georgia" w:eastAsia="Georgia" w:hAnsi="Georgia"/>
          <w:b/>
          <w:bCs/>
          <w:color w:val="1F3864"/>
          <w:sz w:val="20"/>
          <w:szCs w:val="20"/>
        </w:rPr>
        <w:t xml:space="preserve">Tüketici abonelik harcaması. </w:t>
      </w:r>
      <w:r>
        <w:rPr>
          <w:rFonts w:ascii="Georgia" w:cs="Georgia" w:eastAsia="Georgia" w:hAnsi="Georgia"/>
          <w:sz w:val="20"/>
          <w:szCs w:val="20"/>
        </w:rPr>
        <w:t xml:space="preserve">Kişi başı aylık harcama tahminleri 37 dolardan 273 dolara kadar değişmektedir. Ayrışmanın kaynağı "abonelik" tanımına neyin dahil edildiğidir (yalnızca dijital hizmetler mi; yoksa spor salonu, teslimat ve depo kulübü aidatları da mı). Rapor bu nedenle tek bir rakam yerine aralık sunmuştur.</w:t>
      </w:r>
    </w:p>
    <w:p>
      <w:pPr>
        <w:pStyle w:val="ListParagraph"/>
        <w:numPr>
          <w:ilvl w:val="0"/>
          <w:numId w:val="2"/>
        </w:numPr>
        <w:spacing w:after="90" w:line="264"/>
        <w:jc w:val="both"/>
      </w:pPr>
      <w:r>
        <w:rPr>
          <w:rFonts w:ascii="Georgia" w:cs="Georgia" w:eastAsia="Georgia" w:hAnsi="Georgia"/>
          <w:b/>
          <w:bCs/>
          <w:color w:val="1F3864"/>
          <w:sz w:val="20"/>
          <w:szCs w:val="20"/>
        </w:rPr>
        <w:t xml:space="preserve">Özel kulüp fiyatları. </w:t>
      </w:r>
      <w:r>
        <w:rPr>
          <w:rFonts w:ascii="Georgia" w:cs="Georgia" w:eastAsia="Georgia" w:hAnsi="Georgia"/>
          <w:sz w:val="20"/>
          <w:szCs w:val="20"/>
        </w:rPr>
        <w:t xml:space="preserve">Kulüplerin büyük çoğunluğu fiyatını kamuya açıklamamaktadır. Rapor'daki rakamlar basına yansıyan beyanlara dayanmakta olup işletmelerin takdirine bağlı olarak değişebilir ve hızla eskir.</w:t>
      </w:r>
    </w:p>
    <w:p>
      <w:pPr>
        <w:pStyle w:val="ListParagraph"/>
        <w:numPr>
          <w:ilvl w:val="0"/>
          <w:numId w:val="2"/>
        </w:numPr>
        <w:spacing w:after="90" w:line="264"/>
        <w:jc w:val="both"/>
      </w:pPr>
      <w:r>
        <w:rPr>
          <w:rFonts w:ascii="Georgia" w:cs="Georgia" w:eastAsia="Georgia" w:hAnsi="Georgia"/>
          <w:b/>
          <w:bCs/>
          <w:color w:val="1F3864"/>
          <w:sz w:val="20"/>
          <w:szCs w:val="20"/>
        </w:rPr>
        <w:t xml:space="preserve">Sosyal wellness segmenti. </w:t>
      </w:r>
      <w:r>
        <w:rPr>
          <w:rFonts w:ascii="Georgia" w:cs="Georgia" w:eastAsia="Georgia" w:hAnsi="Georgia"/>
          <w:sz w:val="20"/>
          <w:szCs w:val="20"/>
        </w:rPr>
        <w:t xml:space="preserve">Segment yeni olduğu için ayrışmış ve karşılaştırılabilir bir pazar büyüklüğü ölçümü bulunmamaktadır. Rapor, ölçek yerine fiyat bandı ve sermaye akışı üzerinden değerlendirme yapmıştır.</w:t>
      </w:r>
    </w:p>
    <w:p>
      <w:pPr>
        <w:pStyle w:val="Heading2"/>
        <w:spacing w:after="110" w:before="260"/>
      </w:pPr>
      <w:r>
        <w:rPr>
          <w:rFonts w:ascii="Georgia" w:cs="Georgia" w:eastAsia="Georgia" w:hAnsi="Georgia"/>
          <w:b/>
          <w:bCs/>
          <w:color w:val="1F3864"/>
          <w:sz w:val="22"/>
          <w:szCs w:val="22"/>
        </w:rPr>
        <w:t xml:space="preserve">Kapsam dışı bırakılanlar</w:t>
      </w:r>
    </w:p>
    <w:p>
      <w:pPr>
        <w:spacing w:after="140" w:line="264"/>
        <w:jc w:val="both"/>
      </w:pPr>
      <w:r>
        <w:rPr>
          <w:rFonts w:ascii="Georgia" w:cs="Georgia" w:eastAsia="Georgia" w:hAnsi="Georgia"/>
          <w:color w:val="1A1A1A"/>
          <w:sz w:val="20"/>
          <w:szCs w:val="20"/>
        </w:rPr>
        <w:t xml:space="preserve">Rapor kapsamına alınmayan alanlar: kurumsal (B2B) üyelik ve kulüp satışları; golf ve country club segmentinin ayrıntılı incelemesi; havayolu ve otel sadakat programlarının puan ekonomisi; sağlık sigortasına bağlı üyelikler; ABD dışı pazarların ayrıntılı incelemesi. Bu alanlar, talep edilmesi hâlinde ayrı bir çalışmanın konusu olabilir.</w:t>
      </w:r>
    </w:p>
    <w:p>
      <w:pPr>
        <w:spacing w:after="500"/>
      </w:pPr>
    </w:p>
    <w:p>
      <w:pPr>
        <w:pBdr>
          <w:bottom w:val="single" w:color="8C6D1F" w:sz="6" w:space="4"/>
        </w:pBdr>
        <w:spacing w:after="120" w:before="120"/>
      </w:pPr>
    </w:p>
    <w:p>
      <w:pPr>
        <w:spacing w:after="60" w:before="200"/>
        <w:jc w:val="center"/>
      </w:pPr>
      <w:r>
        <w:rPr>
          <w:rFonts w:ascii="Georgia" w:cs="Georgia" w:eastAsia="Georgia" w:hAnsi="Georgia"/>
          <w:b/>
          <w:bCs/>
          <w:color w:val="1F3864"/>
          <w:spacing w:val="20"/>
          <w:sz w:val="18"/>
          <w:szCs w:val="18"/>
        </w:rPr>
        <w:t xml:space="preserve">VALUE MASTERS ACADEMY  ·  for A Level Alliances (ALA)</w:t>
      </w:r>
    </w:p>
    <w:p>
      <w:pPr>
        <w:spacing w:after="0"/>
        <w:jc w:val="center"/>
      </w:pPr>
      <w:r>
        <w:rPr>
          <w:rFonts w:ascii="Georgia" w:cs="Georgia" w:eastAsia="Georgia" w:hAnsi="Georgia"/>
          <w:i/>
          <w:iCs/>
          <w:color w:val="595959"/>
          <w:sz w:val="16"/>
          <w:szCs w:val="16"/>
        </w:rPr>
        <w:t xml:space="preserve">Strictly Private &amp; Confidential  ·  Eylül 2026</w:t>
      </w:r>
    </w:p>
    <w:sectPr>
      <w:headerReference w:type="default" r:id="rId7"/>
      <w:headerReference w:type="first" r:id="rId8"/>
      <w:footerReference w:type="default" r:id="rId9"/>
      <w:footerReference w:type="first" r:id="rId10"/>
      <w:pgSz w:w="12240" w:h="15840"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Georgia" w:cs="Georgia" w:eastAsia="Georgia" w:hAnsi="Georgia"/>
        <w:color w:val="595959"/>
        <w:sz w:val="14"/>
        <w:szCs w:val="14"/>
      </w:rPr>
      <w:t xml:space="preserve">Strictly Private &amp; Confidential   |   </w:t>
    </w:r>
    <w:r>
      <w:rPr>
        <w:rFonts w:ascii="Georgia" w:cs="Georgia" w:eastAsia="Georgia" w:hAnsi="Georgia"/>
        <w:color w:val="595959"/>
        <w:sz w:val="14"/>
        <w:szCs w:val="14"/>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spacing w:after="120"/>
      <w:jc w:val="right"/>
    </w:pPr>
    <w:r>
      <w:rPr>
        <w:rFonts w:ascii="Georgia" w:cs="Georgia" w:eastAsia="Georgia" w:hAnsi="Georgia"/>
        <w:color w:val="595959"/>
        <w:spacing w:val="12"/>
        <w:sz w:val="14"/>
        <w:szCs w:val="14"/>
      </w:rPr>
      <w:t xml:space="preserve">VALUE MASTERS ACADEMY  ·  ABD ÜYELİK EKONOMİSİ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20"/>
      </w:pPr>
    </w:lvl>
  </w:abstractNum>
  <w:abstractNum w:abstractNumId="3" w15:restartNumberingAfterBreak="0">
    <w:multiLevelType w:val="hybridMultilevel"/>
    <w:lvl w:ilvl="0" w15:tentative="1">
      <w:start w:val="1"/>
      <w:numFmt w:val="decimal"/>
      <w:lvlText w:val="%1."/>
      <w:lvlJc w:val="left"/>
      <w:pPr>
        <w:ind w:left="44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 Üyelik Ekonomisi — Sektör Araştırması</dc:title>
  <dc:creator>Value Masters Academy</dc:creator>
  <dc:description>Prepared by Value Masters Academy for A Level Alliances (ALA)</dc:description>
  <cp:lastModifiedBy>Un-named</cp:lastModifiedBy>
  <cp:revision>1</cp:revision>
  <dcterms:created xsi:type="dcterms:W3CDTF">2026-09-03T16:02:27.172Z</dcterms:created>
  <dcterms:modified xsi:type="dcterms:W3CDTF">2026-09-03T16:02:27.173Z</dcterms:modified>
</cp:coreProperties>
</file>

<file path=docProps/custom.xml><?xml version="1.0" encoding="utf-8"?>
<Properties xmlns="http://schemas.openxmlformats.org/officeDocument/2006/custom-properties" xmlns:vt="http://schemas.openxmlformats.org/officeDocument/2006/docPropsVTypes"/>
</file>